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974" w:rsidRPr="003B48DB" w:rsidRDefault="00576A64">
      <w:pPr>
        <w:rPr>
          <w:rFonts w:ascii="Verdana" w:hAnsi="Verdana"/>
          <w:sz w:val="24"/>
          <w:szCs w:val="24"/>
        </w:rPr>
      </w:pPr>
      <w:r w:rsidRPr="003B48DB">
        <w:rPr>
          <w:rFonts w:ascii="Verdana" w:hAnsi="Verdana"/>
          <w:sz w:val="24"/>
          <w:szCs w:val="24"/>
        </w:rPr>
        <w:t>Process Flow Diagram of goAML</w:t>
      </w:r>
      <w:r w:rsidR="003B48DB" w:rsidRPr="003B48DB">
        <w:rPr>
          <w:rFonts w:ascii="Verdana" w:hAnsi="Verdana"/>
          <w:sz w:val="24"/>
          <w:szCs w:val="24"/>
        </w:rPr>
        <w:t>:</w:t>
      </w:r>
    </w:p>
    <w:p w:rsidR="00576A64" w:rsidRDefault="00576A64">
      <w:pPr>
        <w:rPr>
          <w:rFonts w:ascii="Verdana" w:hAnsi="Verdana"/>
        </w:rPr>
      </w:pPr>
    </w:p>
    <w:p w:rsidR="00576A64" w:rsidRDefault="00B31D8A">
      <w:pPr>
        <w:rPr>
          <w:rFonts w:ascii="Verdana" w:hAnsi="Verdana"/>
        </w:rPr>
      </w:pPr>
      <w:r w:rsidRPr="00576A64">
        <w:rPr>
          <w:rFonts w:ascii="Verdana" w:hAnsi="Verdana"/>
        </w:rPr>
        <w:object w:dxaOrig="11755" w:dyaOrig="13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63.25pt" o:ole="">
            <v:imagedata r:id="rId6" o:title=""/>
          </v:shape>
          <o:OLEObject Type="Embed" ProgID="Visio.Drawing.11" ShapeID="_x0000_i1025" DrawAspect="Content" ObjectID="_1453116298" r:id="rId7"/>
        </w:object>
      </w:r>
    </w:p>
    <w:p w:rsidR="0029006B" w:rsidRPr="003B48DB" w:rsidRDefault="00576A64" w:rsidP="00D96E77">
      <w:pPr>
        <w:rPr>
          <w:rFonts w:ascii="Verdana" w:hAnsi="Verdana"/>
          <w:sz w:val="24"/>
          <w:szCs w:val="24"/>
        </w:rPr>
      </w:pPr>
      <w:r w:rsidRPr="003B48DB">
        <w:rPr>
          <w:rFonts w:ascii="Verdana" w:hAnsi="Verdana"/>
          <w:sz w:val="24"/>
          <w:szCs w:val="24"/>
        </w:rPr>
        <w:lastRenderedPageBreak/>
        <w:t>Short Description</w:t>
      </w:r>
    </w:p>
    <w:p w:rsidR="00D96E77" w:rsidRDefault="00576A64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76A64">
        <w:rPr>
          <w:rFonts w:ascii="Verdana" w:hAnsi="Verdana"/>
          <w:b/>
          <w:sz w:val="20"/>
          <w:szCs w:val="20"/>
        </w:rPr>
        <w:t xml:space="preserve">Owner </w:t>
      </w:r>
      <w:r w:rsidR="00D96E77">
        <w:rPr>
          <w:rFonts w:ascii="Verdana" w:hAnsi="Verdana"/>
          <w:b/>
          <w:sz w:val="20"/>
          <w:szCs w:val="20"/>
        </w:rPr>
        <w:t>I</w:t>
      </w:r>
      <w:r w:rsidRPr="00576A64">
        <w:rPr>
          <w:rFonts w:ascii="Verdana" w:hAnsi="Verdana"/>
          <w:b/>
          <w:sz w:val="20"/>
          <w:szCs w:val="20"/>
        </w:rPr>
        <w:t>nfo</w:t>
      </w:r>
      <w:r>
        <w:rPr>
          <w:rFonts w:ascii="Verdana" w:hAnsi="Verdana"/>
          <w:b/>
          <w:sz w:val="20"/>
          <w:szCs w:val="20"/>
        </w:rPr>
        <w:t xml:space="preserve"> (Upload)</w:t>
      </w:r>
      <w:r w:rsidRPr="00576A64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Upload signatory (</w:t>
      </w:r>
      <w:r w:rsidR="00A31C02">
        <w:rPr>
          <w:rFonts w:ascii="Verdana" w:hAnsi="Verdana"/>
          <w:sz w:val="20"/>
          <w:szCs w:val="20"/>
        </w:rPr>
        <w:t>owner</w:t>
      </w:r>
      <w:r>
        <w:rPr>
          <w:rFonts w:ascii="Verdana" w:hAnsi="Verdana"/>
          <w:sz w:val="20"/>
          <w:szCs w:val="20"/>
        </w:rPr>
        <w:t xml:space="preserve"> information and account owner mapping) through excel file.</w:t>
      </w:r>
    </w:p>
    <w:p w:rsidR="002F0C7F" w:rsidRPr="00D96E77" w:rsidRDefault="002F0C7F" w:rsidP="0029006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96E77" w:rsidRDefault="00576A64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576A64">
        <w:rPr>
          <w:rFonts w:ascii="Verdana" w:hAnsi="Verdana"/>
          <w:b/>
          <w:sz w:val="20"/>
          <w:szCs w:val="20"/>
        </w:rPr>
        <w:t xml:space="preserve">Entity </w:t>
      </w:r>
      <w:r w:rsidR="00D96E77">
        <w:rPr>
          <w:rFonts w:ascii="Verdana" w:hAnsi="Verdana"/>
          <w:b/>
          <w:sz w:val="20"/>
          <w:szCs w:val="20"/>
        </w:rPr>
        <w:t>I</w:t>
      </w:r>
      <w:r w:rsidRPr="00576A64">
        <w:rPr>
          <w:rFonts w:ascii="Verdana" w:hAnsi="Verdana"/>
          <w:b/>
          <w:sz w:val="20"/>
          <w:szCs w:val="20"/>
        </w:rPr>
        <w:t>nfo</w:t>
      </w:r>
      <w:r>
        <w:rPr>
          <w:rFonts w:ascii="Verdana" w:hAnsi="Verdana"/>
          <w:b/>
          <w:sz w:val="20"/>
          <w:szCs w:val="20"/>
        </w:rPr>
        <w:t xml:space="preserve"> (Upload)</w:t>
      </w:r>
      <w:r>
        <w:rPr>
          <w:rFonts w:ascii="Verdana" w:hAnsi="Verdana"/>
          <w:sz w:val="20"/>
          <w:szCs w:val="20"/>
        </w:rPr>
        <w:t xml:space="preserve"> : Upload entity (</w:t>
      </w:r>
      <w:r w:rsidR="00A31C02">
        <w:rPr>
          <w:rFonts w:ascii="Verdana" w:hAnsi="Verdana"/>
          <w:sz w:val="20"/>
          <w:szCs w:val="20"/>
        </w:rPr>
        <w:t xml:space="preserve">Company and </w:t>
      </w:r>
      <w:r>
        <w:rPr>
          <w:rFonts w:ascii="Verdana" w:hAnsi="Verdana"/>
          <w:sz w:val="20"/>
          <w:szCs w:val="20"/>
        </w:rPr>
        <w:t>director information) through excel file</w:t>
      </w:r>
    </w:p>
    <w:p w:rsidR="002F0C7F" w:rsidRPr="00A31C02" w:rsidRDefault="002F0C7F" w:rsidP="00A31C02">
      <w:pPr>
        <w:spacing w:after="0"/>
        <w:rPr>
          <w:rFonts w:ascii="Verdana" w:hAnsi="Verdana"/>
          <w:sz w:val="20"/>
          <w:szCs w:val="20"/>
        </w:rPr>
      </w:pPr>
    </w:p>
    <w:p w:rsidR="00D96E77" w:rsidRDefault="00576A64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Owner </w:t>
      </w:r>
      <w:r w:rsidR="00D96E77">
        <w:rPr>
          <w:rFonts w:ascii="Verdana" w:hAnsi="Verdana"/>
          <w:b/>
          <w:sz w:val="20"/>
          <w:szCs w:val="20"/>
        </w:rPr>
        <w:t>Info:</w:t>
      </w:r>
      <w:r>
        <w:rPr>
          <w:rFonts w:ascii="Verdana" w:hAnsi="Verdana"/>
          <w:b/>
          <w:sz w:val="20"/>
          <w:szCs w:val="20"/>
        </w:rPr>
        <w:t xml:space="preserve"> </w:t>
      </w:r>
      <w:r w:rsidR="00A31C02">
        <w:rPr>
          <w:rFonts w:ascii="Verdana" w:hAnsi="Verdana"/>
          <w:sz w:val="20"/>
          <w:szCs w:val="20"/>
        </w:rPr>
        <w:t>Maintain</w:t>
      </w:r>
      <w:r w:rsidR="00D96E77">
        <w:rPr>
          <w:rFonts w:ascii="Verdana" w:hAnsi="Verdana"/>
          <w:sz w:val="20"/>
          <w:szCs w:val="20"/>
        </w:rPr>
        <w:t xml:space="preserve"> signatory information through goAML interface.</w:t>
      </w:r>
    </w:p>
    <w:p w:rsidR="0029006B" w:rsidRPr="00D96E77" w:rsidRDefault="0029006B" w:rsidP="0029006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96E77" w:rsidRDefault="00D96E77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D96E77">
        <w:rPr>
          <w:rFonts w:ascii="Verdana" w:hAnsi="Verdana"/>
          <w:b/>
          <w:sz w:val="20"/>
          <w:szCs w:val="20"/>
        </w:rPr>
        <w:t>Account Owner Mapping</w:t>
      </w:r>
      <w:r>
        <w:rPr>
          <w:rFonts w:ascii="Verdana" w:hAnsi="Verdana"/>
          <w:sz w:val="20"/>
          <w:szCs w:val="20"/>
        </w:rPr>
        <w:t xml:space="preserve"> : Assigning signatories to different account through goAML interface</w:t>
      </w:r>
    </w:p>
    <w:p w:rsidR="002F0C7F" w:rsidRDefault="002F0C7F" w:rsidP="0029006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96E77" w:rsidRDefault="00D96E77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D96E77">
        <w:rPr>
          <w:rFonts w:ascii="Verdana" w:hAnsi="Verdana"/>
          <w:b/>
          <w:sz w:val="20"/>
          <w:szCs w:val="20"/>
        </w:rPr>
        <w:t xml:space="preserve"> Entity Info</w:t>
      </w:r>
      <w:r>
        <w:rPr>
          <w:rFonts w:ascii="Verdana" w:hAnsi="Verdana"/>
          <w:sz w:val="20"/>
          <w:szCs w:val="20"/>
        </w:rPr>
        <w:t>:</w:t>
      </w:r>
      <w:r w:rsidR="00A31C02">
        <w:rPr>
          <w:rFonts w:ascii="Verdana" w:hAnsi="Verdana"/>
          <w:sz w:val="20"/>
          <w:szCs w:val="20"/>
        </w:rPr>
        <w:t xml:space="preserve"> Maintain</w:t>
      </w:r>
      <w:r>
        <w:rPr>
          <w:rFonts w:ascii="Verdana" w:hAnsi="Verdana"/>
          <w:sz w:val="20"/>
          <w:szCs w:val="20"/>
        </w:rPr>
        <w:t xml:space="preserve"> Company Information (if account is a company account) through goAML interface with mapping.</w:t>
      </w:r>
    </w:p>
    <w:p w:rsidR="002F0C7F" w:rsidRPr="00A31C02" w:rsidRDefault="002F0C7F" w:rsidP="00A31C02">
      <w:pPr>
        <w:spacing w:after="0"/>
        <w:rPr>
          <w:rFonts w:ascii="Verdana" w:hAnsi="Verdana"/>
          <w:sz w:val="20"/>
          <w:szCs w:val="20"/>
        </w:rPr>
      </w:pPr>
    </w:p>
    <w:p w:rsidR="00D96E77" w:rsidRDefault="00D96E77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D96E77">
        <w:rPr>
          <w:rFonts w:ascii="Verdana" w:hAnsi="Verdana"/>
          <w:b/>
          <w:sz w:val="20"/>
          <w:szCs w:val="20"/>
        </w:rPr>
        <w:t>Director Info</w:t>
      </w:r>
      <w:r>
        <w:rPr>
          <w:rFonts w:ascii="Verdana" w:hAnsi="Verdana"/>
          <w:sz w:val="20"/>
          <w:szCs w:val="20"/>
        </w:rPr>
        <w:t xml:space="preserve">: </w:t>
      </w:r>
      <w:r w:rsidR="00A31C02">
        <w:rPr>
          <w:rFonts w:ascii="Verdana" w:hAnsi="Verdana"/>
          <w:sz w:val="20"/>
          <w:szCs w:val="20"/>
        </w:rPr>
        <w:t>Maintain Company’s</w:t>
      </w:r>
      <w:r>
        <w:rPr>
          <w:rFonts w:ascii="Verdana" w:hAnsi="Verdana"/>
          <w:sz w:val="20"/>
          <w:szCs w:val="20"/>
        </w:rPr>
        <w:t xml:space="preserve"> one or more director through goAML Interface.</w:t>
      </w:r>
    </w:p>
    <w:p w:rsidR="002F0C7F" w:rsidRDefault="002F0C7F" w:rsidP="0029006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96E77" w:rsidRDefault="00D96E77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2F0C7F">
        <w:rPr>
          <w:rFonts w:ascii="Verdana" w:hAnsi="Verdana"/>
          <w:b/>
          <w:sz w:val="20"/>
          <w:szCs w:val="20"/>
        </w:rPr>
        <w:t>Account Handoff</w:t>
      </w:r>
      <w:r>
        <w:rPr>
          <w:rFonts w:ascii="Verdana" w:hAnsi="Verdana"/>
          <w:sz w:val="20"/>
          <w:szCs w:val="20"/>
        </w:rPr>
        <w:t>: Upload account handoff</w:t>
      </w:r>
      <w:r w:rsidR="002F0C7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for account</w:t>
      </w:r>
      <w:r w:rsidR="002F0C7F">
        <w:rPr>
          <w:rFonts w:ascii="Verdana" w:hAnsi="Verdana"/>
          <w:sz w:val="20"/>
          <w:szCs w:val="20"/>
        </w:rPr>
        <w:t xml:space="preserve"> number, account</w:t>
      </w:r>
      <w:r>
        <w:rPr>
          <w:rFonts w:ascii="Verdana" w:hAnsi="Verdana"/>
          <w:sz w:val="20"/>
          <w:szCs w:val="20"/>
        </w:rPr>
        <w:t xml:space="preserve"> branch,</w:t>
      </w:r>
      <w:r w:rsidR="002F0C7F">
        <w:rPr>
          <w:rFonts w:ascii="Verdana" w:hAnsi="Verdana"/>
          <w:sz w:val="20"/>
          <w:szCs w:val="20"/>
        </w:rPr>
        <w:t xml:space="preserve"> account opening date, account currency, account balance, customer number, account class, bbk definition.</w:t>
      </w:r>
      <w:r>
        <w:rPr>
          <w:rFonts w:ascii="Verdana" w:hAnsi="Verdana"/>
          <w:sz w:val="20"/>
          <w:szCs w:val="20"/>
        </w:rPr>
        <w:t xml:space="preserve">  </w:t>
      </w:r>
    </w:p>
    <w:p w:rsidR="002F0C7F" w:rsidRPr="0029006B" w:rsidRDefault="002F0C7F" w:rsidP="0029006B">
      <w:pPr>
        <w:spacing w:after="0"/>
        <w:rPr>
          <w:rFonts w:ascii="Verdana" w:hAnsi="Verdana"/>
          <w:sz w:val="20"/>
          <w:szCs w:val="20"/>
        </w:rPr>
      </w:pPr>
    </w:p>
    <w:p w:rsidR="002F0C7F" w:rsidRDefault="002F0C7F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2F0C7F">
        <w:rPr>
          <w:rFonts w:ascii="Verdana" w:hAnsi="Verdana"/>
          <w:b/>
          <w:sz w:val="20"/>
          <w:szCs w:val="20"/>
        </w:rPr>
        <w:t>Account Info</w:t>
      </w:r>
      <w:r>
        <w:rPr>
          <w:rFonts w:ascii="Verdana" w:hAnsi="Verdana"/>
          <w:sz w:val="20"/>
          <w:szCs w:val="20"/>
        </w:rPr>
        <w:t xml:space="preserve">: </w:t>
      </w:r>
      <w:r w:rsidR="00A31C02">
        <w:rPr>
          <w:rFonts w:ascii="Verdana" w:hAnsi="Verdana"/>
          <w:sz w:val="20"/>
          <w:szCs w:val="20"/>
        </w:rPr>
        <w:t xml:space="preserve">Maintain </w:t>
      </w:r>
      <w:r>
        <w:rPr>
          <w:rFonts w:ascii="Verdana" w:hAnsi="Verdana"/>
          <w:sz w:val="20"/>
          <w:szCs w:val="20"/>
        </w:rPr>
        <w:t>account information through goAML interface.</w:t>
      </w:r>
    </w:p>
    <w:p w:rsidR="002F0C7F" w:rsidRDefault="002F0C7F" w:rsidP="0029006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2F0C7F" w:rsidRDefault="002F0C7F" w:rsidP="0029006B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2F0C7F">
        <w:rPr>
          <w:rFonts w:ascii="Verdana" w:hAnsi="Verdana"/>
          <w:b/>
          <w:sz w:val="20"/>
          <w:szCs w:val="20"/>
        </w:rPr>
        <w:t>Accounting Entities Handoff</w:t>
      </w:r>
      <w:r>
        <w:rPr>
          <w:rFonts w:ascii="Verdana" w:hAnsi="Verdana"/>
          <w:sz w:val="20"/>
          <w:szCs w:val="20"/>
        </w:rPr>
        <w:t>: Upload account entities handoff for account number, account currency, local currency amount, transaction code, reference number, debit/credit indicator, host reference, transaction description, transaction branch, transaction date, foreign currency amount.</w:t>
      </w:r>
    </w:p>
    <w:p w:rsidR="002F0C7F" w:rsidRPr="00EE6D4E" w:rsidRDefault="002F0C7F" w:rsidP="00EE6D4E">
      <w:pPr>
        <w:spacing w:after="0"/>
        <w:rPr>
          <w:rFonts w:ascii="Verdana" w:hAnsi="Verdana"/>
          <w:sz w:val="20"/>
          <w:szCs w:val="20"/>
        </w:rPr>
      </w:pPr>
    </w:p>
    <w:p w:rsidR="00EE6D4E" w:rsidRDefault="00EE6D4E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EE6D4E">
        <w:rPr>
          <w:rFonts w:ascii="Verdana" w:hAnsi="Verdana"/>
          <w:b/>
          <w:sz w:val="20"/>
          <w:szCs w:val="20"/>
        </w:rPr>
        <w:t>Transaction</w:t>
      </w:r>
      <w:r>
        <w:rPr>
          <w:rFonts w:ascii="Verdana" w:hAnsi="Verdana"/>
          <w:sz w:val="20"/>
          <w:szCs w:val="20"/>
        </w:rPr>
        <w:t>: All transaction is stored here with date.</w:t>
      </w:r>
    </w:p>
    <w:p w:rsidR="00EE6D4E" w:rsidRPr="00EE6D4E" w:rsidRDefault="00EE6D4E" w:rsidP="00EE6D4E">
      <w:pPr>
        <w:pStyle w:val="ListParagraph"/>
        <w:rPr>
          <w:rFonts w:ascii="Verdana" w:hAnsi="Verdana"/>
          <w:sz w:val="20"/>
          <w:szCs w:val="20"/>
        </w:rPr>
      </w:pPr>
    </w:p>
    <w:p w:rsidR="00EE6D4E" w:rsidRDefault="00EE6D4E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b/>
          <w:sz w:val="20"/>
          <w:szCs w:val="20"/>
        </w:rPr>
        <w:t>Process By Rule</w:t>
      </w:r>
      <w:r>
        <w:rPr>
          <w:rFonts w:ascii="Verdana" w:hAnsi="Verdana"/>
          <w:sz w:val="20"/>
          <w:szCs w:val="20"/>
        </w:rPr>
        <w:t xml:space="preserve"> : </w:t>
      </w:r>
      <w:r w:rsidR="0072227A">
        <w:rPr>
          <w:rFonts w:ascii="Verdana" w:hAnsi="Verdana"/>
          <w:sz w:val="20"/>
          <w:szCs w:val="20"/>
        </w:rPr>
        <w:t>Segregate transactions by following rule:</w:t>
      </w:r>
    </w:p>
    <w:p w:rsidR="00EE6D4E" w:rsidRPr="00314D75" w:rsidRDefault="00EE6D4E" w:rsidP="00314D75">
      <w:pPr>
        <w:pStyle w:val="NoSpacing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Segregation Rule: Flexcube Teller Transactions (Flexcube Teller)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 Type is Customer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Flex Transaction code used as ‘002’,’003’,’004’,’005’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Application_ID is ‘CTELLER’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MODULE is ‘DE’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ACCOUNT&lt;&gt;’195100501’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ACCOUNT&lt;&gt;’100200101’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Segregation Rule: Flexcube liquidation trasaction (ZRAC)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 Type is Customer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REFERENCE like ‘G0%ZRAC%’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DRCR_IND is ‘C’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Flex Transaction code used as ‘002’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lastRenderedPageBreak/>
        <w:t>ACCOUNT&lt;&gt;’195100501’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ACCOUNT&lt;&gt;’100200101’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Segregation Rule: Non-</w:t>
      </w:r>
      <w:r w:rsidRPr="00314D75">
        <w:rPr>
          <w:rFonts w:ascii="Verdana" w:hAnsi="Verdana"/>
          <w:sz w:val="20"/>
          <w:szCs w:val="20"/>
        </w:rPr>
        <w:t>consolidated</w:t>
      </w:r>
      <w:r>
        <w:rPr>
          <w:rFonts w:ascii="Verdana" w:hAnsi="Verdana"/>
          <w:sz w:val="20"/>
          <w:szCs w:val="20"/>
        </w:rPr>
        <w:t xml:space="preserve"> Customer</w:t>
      </w:r>
      <w:r w:rsidRPr="00314D75">
        <w:rPr>
          <w:rFonts w:ascii="Verdana" w:hAnsi="Verdana"/>
          <w:sz w:val="20"/>
          <w:szCs w:val="20"/>
        </w:rPr>
        <w:t xml:space="preserve"> transaction</w:t>
      </w:r>
      <w:r>
        <w:rPr>
          <w:rFonts w:ascii="Verdana" w:hAnsi="Verdana"/>
          <w:sz w:val="20"/>
          <w:szCs w:val="20"/>
        </w:rPr>
        <w:t>s</w:t>
      </w:r>
      <w:r w:rsidRPr="00314D75">
        <w:rPr>
          <w:rFonts w:ascii="Verdana" w:hAnsi="Verdana"/>
          <w:sz w:val="20"/>
          <w:szCs w:val="20"/>
        </w:rPr>
        <w:t xml:space="preserve"> (non-ALICO)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 Type is Customer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REFERENCE like ‘G0%ZRAC%’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DRCR_IND is ‘C’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Flex Transaction code used as ‘002’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ACCOUNT&lt;&gt;’195100501’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ACCOUNT&lt;&gt;’G010000200038002’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 xml:space="preserve">Segregation Rule: </w:t>
      </w:r>
      <w:r>
        <w:rPr>
          <w:rFonts w:ascii="Verdana" w:hAnsi="Verdana"/>
          <w:sz w:val="20"/>
          <w:szCs w:val="20"/>
        </w:rPr>
        <w:t>C</w:t>
      </w:r>
      <w:r w:rsidRPr="00314D75">
        <w:rPr>
          <w:rFonts w:ascii="Verdana" w:hAnsi="Verdana"/>
          <w:sz w:val="20"/>
          <w:szCs w:val="20"/>
        </w:rPr>
        <w:t>onsolidated</w:t>
      </w:r>
      <w:r>
        <w:rPr>
          <w:rFonts w:ascii="Verdana" w:hAnsi="Verdana"/>
          <w:sz w:val="20"/>
          <w:szCs w:val="20"/>
        </w:rPr>
        <w:t xml:space="preserve"> Customer</w:t>
      </w:r>
      <w:r w:rsidRPr="00314D75">
        <w:rPr>
          <w:rFonts w:ascii="Verdana" w:hAnsi="Verdana"/>
          <w:sz w:val="20"/>
          <w:szCs w:val="20"/>
        </w:rPr>
        <w:t xml:space="preserve"> transactions (ALICO)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 Type is Customer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DRCR_IND is ‘C’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Flex Transaction code used as ‘355’</w:t>
      </w:r>
    </w:p>
    <w:p w:rsidR="00314D75" w:rsidRPr="00314D75" w:rsidRDefault="00314D75" w:rsidP="00314D75">
      <w:pPr>
        <w:pStyle w:val="NoSpacing"/>
        <w:ind w:left="720"/>
        <w:rPr>
          <w:rFonts w:ascii="Verdana" w:hAnsi="Verdana"/>
          <w:sz w:val="20"/>
          <w:szCs w:val="20"/>
        </w:rPr>
      </w:pPr>
      <w:r w:rsidRPr="00314D75">
        <w:rPr>
          <w:rFonts w:ascii="Verdana" w:hAnsi="Verdana"/>
          <w:sz w:val="20"/>
          <w:szCs w:val="20"/>
        </w:rPr>
        <w:t>ACCOUNT=’G010000200038002’</w:t>
      </w:r>
    </w:p>
    <w:p w:rsidR="00314D75" w:rsidRPr="00EE6D4E" w:rsidRDefault="00314D75" w:rsidP="00EE6D4E">
      <w:pPr>
        <w:pStyle w:val="ListParagraph"/>
        <w:rPr>
          <w:rFonts w:ascii="Verdana" w:hAnsi="Verdana"/>
          <w:sz w:val="20"/>
          <w:szCs w:val="20"/>
        </w:rPr>
      </w:pPr>
    </w:p>
    <w:p w:rsidR="002B671F" w:rsidRDefault="00EE6D4E" w:rsidP="002B671F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b/>
          <w:sz w:val="20"/>
          <w:szCs w:val="20"/>
        </w:rPr>
        <w:t>Segregated Transaction Report</w:t>
      </w:r>
      <w:r>
        <w:rPr>
          <w:rFonts w:ascii="Verdana" w:hAnsi="Verdana"/>
          <w:sz w:val="20"/>
          <w:szCs w:val="20"/>
        </w:rPr>
        <w:t>:</w:t>
      </w:r>
      <w:r w:rsidR="0034730C">
        <w:rPr>
          <w:rFonts w:ascii="Verdana" w:hAnsi="Verdana"/>
          <w:sz w:val="20"/>
          <w:szCs w:val="20"/>
        </w:rPr>
        <w:t xml:space="preserve"> Report for process by rule</w:t>
      </w:r>
      <w:r w:rsidR="000D4E1C">
        <w:rPr>
          <w:rFonts w:ascii="Verdana" w:hAnsi="Verdana"/>
          <w:sz w:val="20"/>
          <w:szCs w:val="20"/>
        </w:rPr>
        <w:t xml:space="preserve"> data</w:t>
      </w:r>
      <w:r w:rsidR="0034730C">
        <w:rPr>
          <w:rFonts w:ascii="Verdana" w:hAnsi="Verdana"/>
          <w:sz w:val="20"/>
          <w:szCs w:val="20"/>
        </w:rPr>
        <w:t xml:space="preserve"> with a date range</w:t>
      </w:r>
      <w:r w:rsidR="000D4E1C">
        <w:rPr>
          <w:rFonts w:ascii="Verdana" w:hAnsi="Verdana"/>
          <w:sz w:val="20"/>
          <w:szCs w:val="20"/>
        </w:rPr>
        <w:t>(report-&gt;transaction(goAML))</w:t>
      </w:r>
    </w:p>
    <w:p w:rsidR="002B671F" w:rsidRDefault="002B671F" w:rsidP="002B671F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2B671F" w:rsidRDefault="002B671F" w:rsidP="002B671F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Reporting Person:</w:t>
      </w:r>
      <w:r>
        <w:rPr>
          <w:rFonts w:ascii="Verdana" w:hAnsi="Verdana"/>
          <w:sz w:val="20"/>
          <w:szCs w:val="20"/>
        </w:rPr>
        <w:t xml:space="preserve"> </w:t>
      </w:r>
      <w:r w:rsidR="0072227A">
        <w:rPr>
          <w:rFonts w:ascii="Verdana" w:hAnsi="Verdana"/>
          <w:sz w:val="20"/>
          <w:szCs w:val="20"/>
        </w:rPr>
        <w:t xml:space="preserve">Maintain </w:t>
      </w:r>
      <w:r>
        <w:rPr>
          <w:rFonts w:ascii="Verdana" w:hAnsi="Verdana"/>
          <w:sz w:val="20"/>
          <w:szCs w:val="20"/>
        </w:rPr>
        <w:t>Reporting Person who creates the report.</w:t>
      </w:r>
    </w:p>
    <w:p w:rsidR="002B671F" w:rsidRPr="002B671F" w:rsidRDefault="002B671F" w:rsidP="002B671F">
      <w:pPr>
        <w:pStyle w:val="ListParagraph"/>
        <w:rPr>
          <w:rFonts w:ascii="Verdana" w:hAnsi="Verdana"/>
          <w:sz w:val="20"/>
          <w:szCs w:val="20"/>
        </w:rPr>
      </w:pPr>
    </w:p>
    <w:p w:rsidR="002B671F" w:rsidRPr="002B671F" w:rsidRDefault="002B671F" w:rsidP="002B671F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2B671F">
        <w:rPr>
          <w:rFonts w:ascii="Verdana" w:hAnsi="Verdana"/>
          <w:b/>
          <w:sz w:val="20"/>
          <w:szCs w:val="20"/>
        </w:rPr>
        <w:t>Report Location</w:t>
      </w:r>
      <w:r>
        <w:rPr>
          <w:rFonts w:ascii="Verdana" w:hAnsi="Verdana"/>
          <w:sz w:val="20"/>
          <w:szCs w:val="20"/>
        </w:rPr>
        <w:t>:</w:t>
      </w:r>
      <w:r w:rsidR="0072227A">
        <w:rPr>
          <w:rFonts w:ascii="Verdana" w:hAnsi="Verdana"/>
          <w:sz w:val="20"/>
          <w:szCs w:val="20"/>
        </w:rPr>
        <w:t xml:space="preserve"> Maintain Reporting branch</w:t>
      </w:r>
      <w:r>
        <w:rPr>
          <w:rFonts w:ascii="Verdana" w:hAnsi="Verdana"/>
          <w:sz w:val="20"/>
          <w:szCs w:val="20"/>
        </w:rPr>
        <w:t xml:space="preserve"> locati</w:t>
      </w:r>
      <w:r w:rsidR="0072227A">
        <w:rPr>
          <w:rFonts w:ascii="Verdana" w:hAnsi="Verdana"/>
          <w:sz w:val="20"/>
          <w:szCs w:val="20"/>
        </w:rPr>
        <w:t>on</w:t>
      </w:r>
      <w:r>
        <w:rPr>
          <w:rFonts w:ascii="Verdana" w:hAnsi="Verdana"/>
          <w:sz w:val="20"/>
          <w:szCs w:val="20"/>
        </w:rPr>
        <w:t>.</w:t>
      </w:r>
    </w:p>
    <w:p w:rsidR="00EE6D4E" w:rsidRPr="00EE6D4E" w:rsidRDefault="00EE6D4E" w:rsidP="00EE6D4E">
      <w:pPr>
        <w:pStyle w:val="ListParagraph"/>
        <w:rPr>
          <w:rFonts w:ascii="Verdana" w:hAnsi="Verdana"/>
          <w:sz w:val="20"/>
          <w:szCs w:val="20"/>
        </w:rPr>
      </w:pPr>
    </w:p>
    <w:p w:rsidR="00FB7BC0" w:rsidRDefault="00EE6D4E" w:rsidP="00F64FD6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b/>
          <w:sz w:val="20"/>
          <w:szCs w:val="20"/>
        </w:rPr>
        <w:t>Ready For File Generation</w:t>
      </w:r>
      <w:r>
        <w:rPr>
          <w:rFonts w:ascii="Verdana" w:hAnsi="Verdana"/>
          <w:sz w:val="20"/>
          <w:szCs w:val="20"/>
        </w:rPr>
        <w:t xml:space="preserve"> :</w:t>
      </w:r>
    </w:p>
    <w:p w:rsidR="00F64FD6" w:rsidRPr="00F64FD6" w:rsidRDefault="00F64FD6" w:rsidP="00F64FD6">
      <w:pPr>
        <w:spacing w:after="0"/>
        <w:rPr>
          <w:rFonts w:ascii="Verdana" w:hAnsi="Verdana"/>
          <w:sz w:val="20"/>
          <w:szCs w:val="20"/>
        </w:rPr>
      </w:pP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sz w:val="20"/>
          <w:szCs w:val="20"/>
        </w:rPr>
        <w:t>Logic</w:t>
      </w:r>
      <w:r w:rsidR="00F64FD6">
        <w:rPr>
          <w:rFonts w:ascii="Verdana" w:hAnsi="Verdana"/>
          <w:sz w:val="20"/>
          <w:szCs w:val="20"/>
        </w:rPr>
        <w:t xml:space="preserve"> to qualify transaction for </w:t>
      </w:r>
      <w:r w:rsidRPr="00F64FD6">
        <w:rPr>
          <w:rFonts w:ascii="Verdana" w:hAnsi="Verdana"/>
          <w:sz w:val="20"/>
          <w:szCs w:val="20"/>
        </w:rPr>
        <w:t>goAML:</w:t>
      </w: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sz w:val="20"/>
          <w:szCs w:val="20"/>
        </w:rPr>
        <w:t>1. If total sum of credit transactions of a customer for a day is greater than or equal to the limit value, all those credit transactions will be qualified for the reporting.</w:t>
      </w: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sz w:val="20"/>
          <w:szCs w:val="20"/>
        </w:rPr>
        <w:t>2. If total sum of debit transactions of a customer for a day is greater than or equal to the limit value, all those debit transactions will be qualified for the reporting.</w:t>
      </w: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</w:p>
    <w:p w:rsidR="00FB7BC0" w:rsidRPr="00F64FD6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sz w:val="20"/>
          <w:szCs w:val="20"/>
        </w:rPr>
        <w:t>goAML Reporting:</w:t>
      </w:r>
    </w:p>
    <w:p w:rsidR="00FB7BC0" w:rsidRDefault="00FB7BC0" w:rsidP="00F64FD6">
      <w:pPr>
        <w:pStyle w:val="PlainText"/>
        <w:ind w:left="720"/>
        <w:rPr>
          <w:rFonts w:ascii="Verdana" w:hAnsi="Verdana"/>
          <w:sz w:val="20"/>
          <w:szCs w:val="20"/>
        </w:rPr>
      </w:pPr>
      <w:r w:rsidRPr="00F64FD6">
        <w:rPr>
          <w:rFonts w:ascii="Verdana" w:hAnsi="Verdana"/>
          <w:sz w:val="20"/>
          <w:szCs w:val="20"/>
        </w:rPr>
        <w:t xml:space="preserve">All those qualified record will be reported separately. </w:t>
      </w:r>
    </w:p>
    <w:p w:rsidR="00E579E8" w:rsidRDefault="00E579E8" w:rsidP="00F64FD6">
      <w:pPr>
        <w:pStyle w:val="PlainText"/>
        <w:ind w:left="720"/>
        <w:rPr>
          <w:rFonts w:ascii="Verdana" w:hAnsi="Verdana"/>
          <w:sz w:val="20"/>
          <w:szCs w:val="20"/>
        </w:rPr>
      </w:pPr>
    </w:p>
    <w:p w:rsidR="00EE6D4E" w:rsidRDefault="00E579E8" w:rsidP="00E579E8">
      <w:pPr>
        <w:pStyle w:val="PlainText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any account balance or date mismatch then a message will be shown for upload account entities handoff.</w:t>
      </w:r>
    </w:p>
    <w:p w:rsidR="00E579E8" w:rsidRPr="00E579E8" w:rsidRDefault="00E579E8" w:rsidP="00E579E8">
      <w:pPr>
        <w:pStyle w:val="PlainText"/>
        <w:ind w:left="720"/>
        <w:rPr>
          <w:sz w:val="20"/>
          <w:szCs w:val="20"/>
        </w:rPr>
      </w:pPr>
    </w:p>
    <w:p w:rsidR="00EE6D4E" w:rsidRDefault="00E579E8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F61464" w:rsidRPr="000D671B">
        <w:rPr>
          <w:rFonts w:ascii="Verdana" w:hAnsi="Verdana"/>
          <w:b/>
          <w:sz w:val="20"/>
          <w:szCs w:val="20"/>
        </w:rPr>
        <w:t>Bearer/Depositor Info</w:t>
      </w:r>
      <w:r w:rsidR="000D671B">
        <w:rPr>
          <w:rFonts w:ascii="Verdana" w:hAnsi="Verdana"/>
          <w:b/>
          <w:sz w:val="20"/>
          <w:szCs w:val="20"/>
        </w:rPr>
        <w:t xml:space="preserve"> (Upload)</w:t>
      </w:r>
      <w:r w:rsidR="00F61464">
        <w:rPr>
          <w:rFonts w:ascii="Verdana" w:hAnsi="Verdana"/>
          <w:sz w:val="20"/>
          <w:szCs w:val="20"/>
        </w:rPr>
        <w:t>: Upload Bearer/Depositor information through excel file.</w:t>
      </w:r>
    </w:p>
    <w:p w:rsidR="000D671B" w:rsidRDefault="000D671B" w:rsidP="000D671B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0D671B" w:rsidRDefault="000D671B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0D671B">
        <w:rPr>
          <w:rFonts w:ascii="Verdana" w:hAnsi="Verdana"/>
          <w:b/>
          <w:sz w:val="20"/>
          <w:szCs w:val="20"/>
        </w:rPr>
        <w:t>Bearer/Depositor Info</w:t>
      </w:r>
      <w:r>
        <w:rPr>
          <w:rFonts w:ascii="Verdana" w:hAnsi="Verdana"/>
          <w:sz w:val="20"/>
          <w:szCs w:val="20"/>
        </w:rPr>
        <w:t xml:space="preserve">: </w:t>
      </w:r>
      <w:r w:rsidR="00B31D8A">
        <w:rPr>
          <w:rFonts w:ascii="Verdana" w:hAnsi="Verdana"/>
          <w:sz w:val="20"/>
          <w:szCs w:val="20"/>
        </w:rPr>
        <w:t xml:space="preserve">Maintain </w:t>
      </w:r>
      <w:r>
        <w:rPr>
          <w:rFonts w:ascii="Verdana" w:hAnsi="Verdana"/>
          <w:sz w:val="20"/>
          <w:szCs w:val="20"/>
        </w:rPr>
        <w:t>Bearer/Depositor through goAML Interface.</w:t>
      </w:r>
    </w:p>
    <w:p w:rsidR="0059216C" w:rsidRPr="0059216C" w:rsidRDefault="0059216C" w:rsidP="0059216C">
      <w:pPr>
        <w:pStyle w:val="ListParagraph"/>
        <w:rPr>
          <w:rFonts w:ascii="Verdana" w:hAnsi="Verdana"/>
          <w:sz w:val="20"/>
          <w:szCs w:val="20"/>
        </w:rPr>
      </w:pPr>
    </w:p>
    <w:p w:rsidR="0059216C" w:rsidRDefault="00EA6296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EA6296">
        <w:rPr>
          <w:rFonts w:ascii="Verdana" w:hAnsi="Verdana"/>
          <w:b/>
          <w:sz w:val="20"/>
          <w:szCs w:val="20"/>
        </w:rPr>
        <w:lastRenderedPageBreak/>
        <w:t>Export goAML</w:t>
      </w:r>
      <w:r>
        <w:rPr>
          <w:rFonts w:ascii="Verdana" w:hAnsi="Verdana"/>
          <w:sz w:val="20"/>
          <w:szCs w:val="20"/>
        </w:rPr>
        <w:t>: Final Process to create goAML XML file. If any owner info, account info, entity info, director info required filed missing the corresponding</w:t>
      </w:r>
      <w:r w:rsidR="00D03E3F">
        <w:rPr>
          <w:rFonts w:ascii="Verdana" w:hAnsi="Verdana"/>
          <w:sz w:val="20"/>
          <w:szCs w:val="20"/>
        </w:rPr>
        <w:t xml:space="preserve"> error</w:t>
      </w:r>
      <w:r>
        <w:rPr>
          <w:rFonts w:ascii="Verdana" w:hAnsi="Verdana"/>
          <w:sz w:val="20"/>
          <w:szCs w:val="20"/>
        </w:rPr>
        <w:t xml:space="preserve"> message will be prompt.</w:t>
      </w:r>
      <w:r w:rsidR="004E40CF">
        <w:rPr>
          <w:rFonts w:ascii="Verdana" w:hAnsi="Verdana"/>
          <w:sz w:val="20"/>
          <w:szCs w:val="20"/>
        </w:rPr>
        <w:t xml:space="preserve"> </w:t>
      </w:r>
      <w:r w:rsidR="00DC34C1">
        <w:rPr>
          <w:rFonts w:ascii="Verdana" w:hAnsi="Verdana"/>
          <w:sz w:val="20"/>
          <w:szCs w:val="20"/>
        </w:rPr>
        <w:t>XML</w:t>
      </w:r>
      <w:r w:rsidR="004E40CF">
        <w:rPr>
          <w:rFonts w:ascii="Verdana" w:hAnsi="Verdana"/>
          <w:sz w:val="20"/>
          <w:szCs w:val="20"/>
        </w:rPr>
        <w:t xml:space="preserve"> file generation process is based on a date range.</w:t>
      </w:r>
    </w:p>
    <w:p w:rsidR="004E40CF" w:rsidRPr="004E40CF" w:rsidRDefault="004E40CF" w:rsidP="004E40CF">
      <w:pPr>
        <w:pStyle w:val="ListParagraph"/>
        <w:rPr>
          <w:rFonts w:ascii="Verdana" w:hAnsi="Verdana"/>
          <w:sz w:val="20"/>
          <w:szCs w:val="20"/>
        </w:rPr>
      </w:pPr>
    </w:p>
    <w:p w:rsidR="004E40CF" w:rsidRDefault="004E40CF" w:rsidP="00EE6D4E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4E40CF">
        <w:rPr>
          <w:rFonts w:ascii="Verdana" w:hAnsi="Verdana"/>
          <w:b/>
          <w:sz w:val="20"/>
          <w:szCs w:val="20"/>
        </w:rPr>
        <w:t>XML File</w:t>
      </w:r>
      <w:r>
        <w:rPr>
          <w:rFonts w:ascii="Verdana" w:hAnsi="Verdana"/>
          <w:sz w:val="20"/>
          <w:szCs w:val="20"/>
        </w:rPr>
        <w:t>: The Final output of goAML reporting.</w:t>
      </w:r>
    </w:p>
    <w:p w:rsidR="00F61464" w:rsidRPr="00EE6D4E" w:rsidRDefault="00F61464" w:rsidP="0059216C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576A64" w:rsidRPr="00576A64" w:rsidRDefault="00576A64">
      <w:pPr>
        <w:rPr>
          <w:rFonts w:ascii="Verdana" w:hAnsi="Verdana"/>
        </w:rPr>
      </w:pPr>
    </w:p>
    <w:sectPr w:rsidR="00576A64" w:rsidRPr="00576A64" w:rsidSect="00124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63F9C"/>
    <w:multiLevelType w:val="hybridMultilevel"/>
    <w:tmpl w:val="59F0B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2604B"/>
    <w:multiLevelType w:val="hybridMultilevel"/>
    <w:tmpl w:val="23AE0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DB4977"/>
    <w:multiLevelType w:val="hybridMultilevel"/>
    <w:tmpl w:val="DF2896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6A64"/>
    <w:rsid w:val="000D4E1C"/>
    <w:rsid w:val="000D671B"/>
    <w:rsid w:val="00124974"/>
    <w:rsid w:val="0029006B"/>
    <w:rsid w:val="002B671F"/>
    <w:rsid w:val="002F0C7F"/>
    <w:rsid w:val="00314D75"/>
    <w:rsid w:val="0034730C"/>
    <w:rsid w:val="003B48DB"/>
    <w:rsid w:val="004E40CF"/>
    <w:rsid w:val="00576A64"/>
    <w:rsid w:val="0059216C"/>
    <w:rsid w:val="0072227A"/>
    <w:rsid w:val="00A31C02"/>
    <w:rsid w:val="00B31D8A"/>
    <w:rsid w:val="00D03E3F"/>
    <w:rsid w:val="00D96E77"/>
    <w:rsid w:val="00DC34C1"/>
    <w:rsid w:val="00E579E8"/>
    <w:rsid w:val="00EA6296"/>
    <w:rsid w:val="00EE6D4E"/>
    <w:rsid w:val="00F61464"/>
    <w:rsid w:val="00F64FD6"/>
    <w:rsid w:val="00FB0EEA"/>
    <w:rsid w:val="00FB7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A64"/>
    <w:pPr>
      <w:ind w:left="720"/>
      <w:contextualSpacing/>
    </w:pPr>
  </w:style>
  <w:style w:type="paragraph" w:styleId="NoSpacing">
    <w:name w:val="No Spacing"/>
    <w:uiPriority w:val="1"/>
    <w:qFormat/>
    <w:rsid w:val="00314D75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B7B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BC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5CD59-2388-4712-AFEA-01E9611BC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FAHAD</dc:creator>
  <cp:lastModifiedBy>FAHAD</cp:lastModifiedBy>
  <cp:revision>63</cp:revision>
  <dcterms:created xsi:type="dcterms:W3CDTF">2014-02-05T07:02:00Z</dcterms:created>
  <dcterms:modified xsi:type="dcterms:W3CDTF">2014-02-05T08:38:00Z</dcterms:modified>
</cp:coreProperties>
</file>