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key-points"/>
      <w:bookmarkEnd w:id="21"/>
      <w:r>
        <w:t xml:space="preserve">Key Points</w:t>
      </w:r>
    </w:p>
    <w:p>
      <w:pPr>
        <w:pStyle w:val="Heading4"/>
      </w:pPr>
      <w:bookmarkStart w:id="22" w:name="question-how-is-mexico-achieving-its-under-5-mortality-goals"/>
      <w:bookmarkEnd w:id="22"/>
      <w:r>
        <w:t xml:space="preserve">Question: How is Mexico achieving its under 5 mortality goals?</w:t>
      </w:r>
    </w:p>
    <w:p>
      <w:pPr>
        <w:pStyle w:val="FirstParagraph"/>
      </w:pPr>
      <w:r>
        <w:t xml:space="preserve">Findings: While National level mortality child mortality rates has been reduced</w:t>
      </w:r>
      <w:r>
        <w:t xml:space="preserve"> </w:t>
      </w:r>
      <w:r>
        <w:t xml:space="preserve">by two thirds within Mexico between 1990 and 2015 there exist a large amount of</w:t>
      </w:r>
      <w:r>
        <w:t xml:space="preserve"> </w:t>
      </w:r>
      <w:r>
        <w:t xml:space="preserve">inequity in those rates among districts</w:t>
      </w:r>
    </w:p>
    <w:p>
      <w:pPr>
        <w:pStyle w:val="BodyText"/>
      </w:pPr>
      <w:r>
        <w:t xml:space="preserve">Meaning: How countries achieve MDG5 goals need to be examined such that we can</w:t>
      </w:r>
      <w:r>
        <w:t xml:space="preserve"> </w:t>
      </w:r>
      <w:r>
        <w:t xml:space="preserve">examine if communities within countries are being further marginalized.</w:t>
      </w:r>
    </w:p>
    <w:p>
      <w:pPr>
        <w:pStyle w:val="Heading2"/>
      </w:pPr>
      <w:bookmarkStart w:id="23" w:name="abstract"/>
      <w:bookmarkEnd w:id="23"/>
      <w:r>
        <w:t xml:space="preserve">Abstract</w:t>
      </w:r>
    </w:p>
    <w:p>
      <w:pPr>
        <w:pStyle w:val="Heading4"/>
      </w:pPr>
      <w:bookmarkStart w:id="24" w:name="importance"/>
      <w:bookmarkEnd w:id="24"/>
      <w:r>
        <w:t xml:space="preserve">Importance</w:t>
      </w:r>
    </w:p>
    <w:p>
      <w:pPr>
        <w:pStyle w:val="FirstParagraph"/>
      </w:pPr>
      <w:r>
        <w:t xml:space="preserve">By evaluating 5q0 and child mortality at more granular levels we can begin to</w:t>
      </w:r>
      <w:r>
        <w:t xml:space="preserve"> </w:t>
      </w:r>
      <w:r>
        <w:t xml:space="preserve">asses the state of health disparities that exist within a single country</w:t>
      </w:r>
    </w:p>
    <w:p>
      <w:pPr>
        <w:pStyle w:val="Heading4"/>
      </w:pPr>
      <w:bookmarkStart w:id="25" w:name="objective"/>
      <w:bookmarkEnd w:id="25"/>
      <w:r>
        <w:t xml:space="preserve">Objective</w:t>
      </w:r>
    </w:p>
    <w:p>
      <w:pPr>
        <w:pStyle w:val="FirstParagraph"/>
      </w:pPr>
      <w:r>
        <w:t xml:space="preserve">To provide estimates of the changing under 5 mortality landscape at the district</w:t>
      </w:r>
      <w:r>
        <w:t xml:space="preserve"> </w:t>
      </w:r>
      <w:r>
        <w:t xml:space="preserve">level between 2006 and 2014 and describe how the distribution of mortality among</w:t>
      </w:r>
      <w:r>
        <w:t xml:space="preserve"> </w:t>
      </w:r>
      <w:r>
        <w:t xml:space="preserve">districts has changed over time.</w:t>
      </w:r>
    </w:p>
    <w:p>
      <w:pPr>
        <w:pStyle w:val="Heading4"/>
      </w:pPr>
      <w:bookmarkStart w:id="26" w:name="design"/>
      <w:bookmarkEnd w:id="26"/>
      <w:r>
        <w:t xml:space="preserve">Design</w:t>
      </w:r>
    </w:p>
    <w:p>
      <w:pPr>
        <w:pStyle w:val="FirstParagraph"/>
      </w:pPr>
      <w:r>
        <w:t xml:space="preserve">Under 5 mortality count data were taken from registrations reported by</w:t>
      </w:r>
      <w:r>
        <w:t xml:space="preserve"> </w:t>
      </w:r>
      <w:r>
        <w:t xml:space="preserve">Subsistema de Información sobre Nacimientos (SINAC) and Instituto Nacional de</w:t>
      </w:r>
      <w:r>
        <w:t xml:space="preserve"> </w:t>
      </w:r>
      <w:r>
        <w:t xml:space="preserve">Estadística y Geografía (INEGI) while population data was calculated from birth</w:t>
      </w:r>
      <w:r>
        <w:t xml:space="preserve"> </w:t>
      </w:r>
      <w:r>
        <w:t xml:space="preserve">record data from each district as reported by INEGI. Mortality counts were</w:t>
      </w:r>
      <w:r>
        <w:t xml:space="preserve"> </w:t>
      </w:r>
      <w:r>
        <w:t xml:space="preserve">estimated from this data using a poisson hierarchical mixed effects regression</w:t>
      </w:r>
      <w:r>
        <w:t xml:space="preserve"> </w:t>
      </w:r>
      <w:r>
        <w:t xml:space="preserve">where the relative risk was taken as the mortality rate estimate for a given</w:t>
      </w:r>
      <w:r>
        <w:t xml:space="preserve"> </w:t>
      </w:r>
      <w:r>
        <w:t xml:space="preserve">municipality.</w:t>
      </w:r>
    </w:p>
    <w:p>
      <w:pPr>
        <w:pStyle w:val="BodyText"/>
      </w:pPr>
      <w:r>
        <w:t xml:space="preserve">Outline</w:t>
      </w:r>
    </w:p>
    <w:p>
      <w:pPr>
        <w:pStyle w:val="Heading2"/>
      </w:pPr>
      <w:bookmarkStart w:id="27" w:name="introduction"/>
      <w:bookmarkEnd w:id="27"/>
      <w:r>
        <w:t xml:space="preserve">Introduction</w:t>
      </w:r>
    </w:p>
    <w:p>
      <w:pPr>
        <w:pStyle w:val="FirstParagraph"/>
      </w:pPr>
      <w:r>
        <w:t xml:space="preserve">In 2015 at the end of the tracking period of the Millennium Development goals (MDGs) the report Countdown to 2015 the publication cited that of the 75 priority countries followed by the analysis Mexico was part of the one third countries that was successful in achieving the goal of reducing under 5 mortality by two thirds</w:t>
      </w:r>
      <w:r>
        <w:rPr>
          <w:vertAlign w:val="superscript"/>
        </w:rPr>
        <w:t xml:space="preserve">1,2</w:t>
      </w:r>
      <w:r>
        <w:t xml:space="preserve">. The health sector reforms and programs that have made this goal achievable</w:t>
      </w:r>
      <w:r>
        <w:rPr>
          <w:vertAlign w:val="superscript"/>
        </w:rPr>
        <w:t xml:space="preserve">3,4</w:t>
      </w:r>
      <w:r>
        <w:t xml:space="preserve"> </w:t>
      </w:r>
      <w:r>
        <w:t xml:space="preserve">as well as the specific causes that have been reduced in order to meet this goal</w:t>
      </w:r>
      <w:r>
        <w:rPr>
          <w:vertAlign w:val="superscript"/>
        </w:rPr>
        <w:t xml:space="preserve">3</w:t>
      </w:r>
      <w:r>
        <w:t xml:space="preserve"> </w:t>
      </w:r>
      <w:r>
        <w:t xml:space="preserve">have previously been documented however only a brief discussion on the within Mexico variability of under 5 mortality and its shifting distribution have been discussed</w:t>
      </w:r>
      <w:r>
        <w:rPr>
          <w:vertAlign w:val="superscript"/>
        </w:rPr>
        <w:t xml:space="preserve">3,5</w:t>
      </w:r>
      <w:r>
        <w:t xml:space="preserve">. As we change paradigms of evaluation from the MDGs to the Sustainable Development Goals (SDGs) a stronger focus has been placed on equity both within and among countries. Not only should we be making progress in reducing poverty, improving health and increasing years of education but sub populations with the least access to these resources should be increasing the fastest in order to lessen the gap.</w:t>
      </w:r>
    </w:p>
    <w:p>
      <w:pPr>
        <w:pStyle w:val="BodyText"/>
      </w:pPr>
      <w:r>
        <w:t xml:space="preserve">Evaluating the disparate state of health outcomes within administrative boundaries is not a new field, however, and the lack of information that we have on the topic is more of a function of data reporting and analysis. Most countries are ill equipped in terms of health reporting systems ability to provide research based findings to influence health based policies for subnational populations</w:t>
      </w:r>
      <w:r>
        <w:rPr>
          <w:vertAlign w:val="superscript"/>
        </w:rPr>
        <w:t xml:space="preserve">6</w:t>
      </w:r>
      <w:r>
        <w:t xml:space="preserve">. In the absence of vital registration systems household surveys are often used to estimate health outcomes, however, how to best assess child mortality from these surveys in terms of survey development, design, and analysis for subpopulations and small geographic scale is still widely debated</w:t>
      </w:r>
      <w:r>
        <w:rPr>
          <w:vertAlign w:val="superscript"/>
        </w:rPr>
        <w:t xml:space="preserve">7–9</w:t>
      </w:r>
      <w:r>
        <w:t xml:space="preserve">. Even in countries with vital registration system their is no consensus on how to analyze subpopulations and results are often debated when they differ from the national trend</w:t>
      </w:r>
      <w:r>
        <w:rPr>
          <w:vertAlign w:val="superscript"/>
        </w:rPr>
        <w:t xml:space="preserve">10,11</w:t>
      </w:r>
      <w:r>
        <w:t xml:space="preserve">. In addition much like when analyzing survey data there is no consensus on how to analyze the data when small area estimation is of concern.</w:t>
      </w:r>
    </w:p>
    <w:p>
      <w:pPr>
        <w:pStyle w:val="BodyText"/>
      </w:pPr>
      <w:r>
        <w:t xml:space="preserve">In this analysis we analyze the annual age specific mortality rates under the age of 5 at the municipality level within Mexico. Analyzing health outcomes at small geographical units can assess discrepancies in the health that are due to an unequal spatial distribution of health system resources but also can uncover discrepancies in subpopulations by class, race, and ethnicity whom tend to cluster in space</w:t>
      </w:r>
      <w:r>
        <w:rPr>
          <w:vertAlign w:val="superscript"/>
        </w:rPr>
        <w:t xml:space="preserve">12</w:t>
      </w:r>
      <w:r>
        <w:t xml:space="preserve">. Though previous studies have examined how child mortality differs within Mexico at comprehensive level, the smallest unit of analysis has only been at the state level within Mexico</w:t>
      </w:r>
      <w:r>
        <w:rPr>
          <w:vertAlign w:val="superscript"/>
        </w:rPr>
        <w:t xml:space="preserve">3,5</w:t>
      </w:r>
      <w:r>
        <w:t xml:space="preserve">. In more recent studies of inequality in mortality in the United States</w:t>
      </w:r>
      <w:r>
        <w:rPr>
          <w:vertAlign w:val="superscript"/>
        </w:rPr>
        <w:t xml:space="preserve">11</w:t>
      </w:r>
      <w:r>
        <w:t xml:space="preserve">, analysis has shown that state level analysis can mask inequalities that are geographically correlated at more detailed levels. In addition to this the quality of the vital registration system in Mexico has been praised in terms of being able to accurately identify cause of death</w:t>
      </w:r>
      <w:r>
        <w:rPr>
          <w:vertAlign w:val="superscript"/>
        </w:rPr>
        <w:t xml:space="preserve">13,14</w:t>
      </w:r>
      <w:r>
        <w:t xml:space="preserve"> </w:t>
      </w:r>
      <w:r>
        <w:t xml:space="preserve">but the coverage of the system has been examined less in terms of documenting those who are living in poorer rural geographies</w:t>
      </w:r>
      <w:r>
        <w:rPr>
          <w:vertAlign w:val="superscript"/>
        </w:rPr>
        <w:t xml:space="preserve">15</w:t>
      </w:r>
      <w:r>
        <w:t xml:space="preserve">.</w:t>
      </w:r>
    </w:p>
    <w:p>
      <w:pPr>
        <w:pStyle w:val="BodyText"/>
      </w:pPr>
      <w:r>
        <w:t xml:space="preserve">This analysis of municipality level mortality in Mexico has four areas of novel analysis and scientific contribution. First we will assess the geographic distribution of quality of vital registration coverage by assessing the municipality distribution of time from birth till registration. Second, we present a novel method for estimating small area child mortality rate which accounts for geographic proximity. Third, we apply this methodology and compare its results to other more traditional models. Fourth, we asses our models estimate of geographic distribution by assessing the geographic correlation in predicted mortality rates along with how the inequities in under five mortality have evolved, either diminishing, strengthening, or stagnating, over the course of the study period.</w:t>
      </w:r>
    </w:p>
    <w:p>
      <w:pPr>
        <w:pStyle w:val="Heading2"/>
      </w:pPr>
      <w:bookmarkStart w:id="28" w:name="methods"/>
      <w:bookmarkEnd w:id="28"/>
      <w:r>
        <w:t xml:space="preserve">Methods</w:t>
      </w:r>
    </w:p>
    <w:p>
      <w:pPr>
        <w:pStyle w:val="Heading3"/>
      </w:pPr>
      <w:bookmarkStart w:id="29" w:name="data"/>
      <w:bookmarkEnd w:id="29"/>
      <w:r>
        <w:t xml:space="preserve">Data</w:t>
      </w:r>
    </w:p>
    <w:p>
      <w:pPr>
        <w:pStyle w:val="FirstParagraph"/>
      </w:pPr>
      <w:r>
        <w:t xml:space="preserve">De-identified person level data was extracted from INEGI and SINAC vital registration reports for the years {year_start} to {year_end} for birth records. Of the {number_of_birth_records} birth records that were extracted {muni_birthp} had a place of living municipality that was associated with the birth. The records that did not have a municipality associated with them were approximately evenly distributed across states and were discarded from the analysis. Death registration data was extracted from person level de-identified INEGI reports where place of living municipality was recorded, year of occurrence was given, and age of individual given by single year was provided. Of the {n_u5_deaths} deaths that were reported as under the age of 5, {p_u5_deaths} had values for single year age, single year time, and municipality that were valid. Since data was not linked by person and single year populations by single year age and municipality were not available in other data sources populations were estimated by taking the births of individuals for a particular municipality age and moving them one year forward in age as calendar year progressed while also subtracting off the deaths for that population. The formula is as follows</w:t>
      </w:r>
    </w:p>
    <w:p>
      <w:pPr>
        <w:pStyle w:val="BodyText"/>
      </w:pPr>
      <m:oMathPara>
        <m:oMathParaPr>
          <m:jc m:val="center"/>
        </m:oMathParaPr>
        <m:oMath>
          <m:sSub>
            <m:e>
              <m:r>
                <m:t>P</m:t>
              </m:r>
            </m:e>
            <m:sub>
              <m:r>
                <m:t>a</m:t>
              </m:r>
              <m:r>
                <m:t>,</m:t>
              </m:r>
              <m:r>
                <m:t>t</m:t>
              </m:r>
            </m:sub>
          </m:sSub>
          <m:r>
            <m:t>=</m:t>
          </m:r>
          <m:sSub>
            <m:e>
              <m:r>
                <m:t>P</m:t>
              </m:r>
            </m:e>
            <m:sub>
              <m:r>
                <m:t>a</m:t>
              </m:r>
              <m:r>
                <m:t>−</m:t>
              </m:r>
              <m:r>
                <m:t>1</m:t>
              </m:r>
              <m:r>
                <m:t>,</m:t>
              </m:r>
              <m:r>
                <m:t>t</m:t>
              </m:r>
              <m:r>
                <m:t>−</m:t>
              </m:r>
              <m:r>
                <m:t>1</m:t>
              </m:r>
            </m:sub>
          </m:sSub>
          <m:r>
            <m:t>−</m:t>
          </m:r>
          <m:sSub>
            <m:e>
              <m:r>
                <m:t>D</m:t>
              </m:r>
            </m:e>
            <m:sub>
              <m:r>
                <m:t>a</m:t>
              </m:r>
              <m:r>
                <m:t>−</m:t>
              </m:r>
              <m:r>
                <m:t>1</m:t>
              </m:r>
              <m:r>
                <m:t>,</m:t>
              </m:r>
              <m:r>
                <m:t>t</m:t>
              </m:r>
              <m:r>
                <m:t>−</m:t>
              </m:r>
              <m:r>
                <m:t>1</m:t>
              </m:r>
            </m:sub>
          </m:sSub>
        </m:oMath>
      </m:oMathPara>
    </w:p>
    <w:p>
      <w:pPr>
        <w:pStyle w:val="BodyText"/>
      </w:pPr>
      <w:r>
        <w:t xml:space="preserve">where</w:t>
      </w:r>
      <w:r>
        <w:t xml:space="preserve"> </w:t>
      </w:r>
      <m:oMath>
        <m:r>
          <m:t>P</m:t>
        </m:r>
      </m:oMath>
      <w:r>
        <w:t xml:space="preserve"> </w:t>
      </w:r>
      <w:r>
        <w:t xml:space="preserve">is population number,</w:t>
      </w:r>
      <w:r>
        <w:t xml:space="preserve"> </w:t>
      </w:r>
      <m:oMath>
        <m:r>
          <m:t>D</m:t>
        </m:r>
      </m:oMath>
      <w:r>
        <w:t xml:space="preserve"> </w:t>
      </w:r>
      <w:r>
        <w:t xml:space="preserve">is death number,</w:t>
      </w:r>
      <w:r>
        <w:t xml:space="preserve"> </w:t>
      </w:r>
      <m:oMath>
        <m:r>
          <m:t>a</m:t>
        </m:r>
      </m:oMath>
      <w:r>
        <w:t xml:space="preserve"> </w:t>
      </w:r>
      <w:r>
        <w:t xml:space="preserve">is a single year age, and</w:t>
      </w:r>
      <w:r>
        <w:t xml:space="preserve"> </w:t>
      </w:r>
      <m:oMath>
        <m:r>
          <m:t>t</m:t>
        </m:r>
      </m:oMath>
      <w:r>
        <w:t xml:space="preserve"> </w:t>
      </w:r>
      <w:r>
        <w:t xml:space="preserve">is a single year time period. This method assumes net zero migration for all demographic units which will have an effect on the mortality rate estimates depending on if net migration is above or below zero</w:t>
      </w:r>
      <w:r>
        <w:rPr>
          <w:vertAlign w:val="superscript"/>
        </w:rPr>
        <w:t xml:space="preserve">16</w:t>
      </w:r>
      <w:r>
        <w:t xml:space="preserve">.</w:t>
      </w:r>
    </w:p>
    <w:p>
      <w:pPr>
        <w:pStyle w:val="Heading3"/>
      </w:pPr>
      <w:bookmarkStart w:id="30" w:name="analysis-of-time-till-birth-registration."/>
      <w:bookmarkEnd w:id="30"/>
      <w:r>
        <w:t xml:space="preserve">Analysis of time till birth registration.</w:t>
      </w:r>
    </w:p>
    <w:p>
      <w:pPr>
        <w:pStyle w:val="FirstParagraph"/>
      </w:pPr>
      <w:r>
        <w:t xml:space="preserve">Each person level birth record data point which had a year of birth also included a year of registration. For each record we calculate the difference from the year of birth till the year of registration and assign the difference to its municipality of residence. The mean time of registration from birth for each district was calculated. In order to assess the degree of geospatial correlation that exists in these differences of registration time a Moran's I assessment is run.</w:t>
      </w:r>
    </w:p>
    <w:p>
      <w:pPr>
        <w:pStyle w:val="Heading3"/>
      </w:pPr>
      <w:bookmarkStart w:id="31" w:name="spde-modeling-strategies"/>
      <w:bookmarkEnd w:id="31"/>
      <w:r>
        <w:t xml:space="preserve">SPDE Modeling Strategies</w:t>
      </w:r>
    </w:p>
    <w:p>
      <w:pPr>
        <w:pStyle w:val="FirstParagraph"/>
      </w:pPr>
      <w:r>
        <w:t xml:space="preserve">In order to estimate the underlying mortality rate of municipalities within Mexico.</w:t>
      </w:r>
    </w:p>
    <w:p>
      <w:pPr>
        <w:pStyle w:val="Bibliography"/>
      </w:pPr>
      <w:r>
        <w:t xml:space="preserve">1 Victora CG, Requejo JH, Barros AJD</w:t>
      </w:r>
      <w:r>
        <w:t xml:space="preserve"> </w:t>
      </w:r>
      <w:r>
        <w:rPr>
          <w:i/>
        </w:rPr>
        <w:t xml:space="preserve">et al.</w:t>
      </w:r>
      <w:r>
        <w:t xml:space="preserve"> </w:t>
      </w:r>
      <w:r>
        <w:t xml:space="preserve">Countdown to 2015: A decade of tracking progress for maternal, newborn, and child survival.</w:t>
      </w:r>
      <w:r>
        <w:t xml:space="preserve"> </w:t>
      </w:r>
      <w:r>
        <w:rPr>
          <w:i/>
        </w:rPr>
        <w:t xml:space="preserve">The Lancet</w:t>
      </w:r>
      <w:r>
        <w:t xml:space="preserve"> </w:t>
      </w:r>
      <w:r>
        <w:t xml:space="preserve">2016;</w:t>
      </w:r>
      <w:r>
        <w:t xml:space="preserve"> </w:t>
      </w:r>
      <w:r>
        <w:rPr>
          <w:b/>
        </w:rPr>
        <w:t xml:space="preserve">387</w:t>
      </w:r>
      <w:r>
        <w:t xml:space="preserve">: 2049–59.</w:t>
      </w:r>
    </w:p>
    <w:p>
      <w:pPr>
        <w:pStyle w:val="Bibliography"/>
      </w:pPr>
      <w:r>
        <w:t xml:space="preserve">2 Lawn JE, Costello A, Mwansambo C, Osrin D. Countdown to 2015: Will the millennium development goal for child survival be met?</w:t>
      </w:r>
      <w:r>
        <w:t xml:space="preserve"> </w:t>
      </w:r>
      <w:r>
        <w:rPr>
          <w:i/>
        </w:rPr>
        <w:t xml:space="preserve">Arch Dis Child</w:t>
      </w:r>
      <w:r>
        <w:t xml:space="preserve"> </w:t>
      </w:r>
      <w:r>
        <w:t xml:space="preserve">2007;</w:t>
      </w:r>
      <w:r>
        <w:t xml:space="preserve"> </w:t>
      </w:r>
      <w:r>
        <w:rPr>
          <w:b/>
        </w:rPr>
        <w:t xml:space="preserve">92</w:t>
      </w:r>
      <w:r>
        <w:t xml:space="preserve">: 551–6.</w:t>
      </w:r>
    </w:p>
    <w:p>
      <w:pPr>
        <w:pStyle w:val="Bibliography"/>
      </w:pPr>
      <w:r>
        <w:t xml:space="preserve">3 Sepúlveda J, Bustreo F, Tapia R</w:t>
      </w:r>
      <w:r>
        <w:t xml:space="preserve"> </w:t>
      </w:r>
      <w:r>
        <w:rPr>
          <w:i/>
        </w:rPr>
        <w:t xml:space="preserve">et al.</w:t>
      </w:r>
      <w:r>
        <w:t xml:space="preserve"> </w:t>
      </w:r>
      <w:r>
        <w:t xml:space="preserve">Improvement of child survival in mexico: The diagonal approach.</w:t>
      </w:r>
      <w:r>
        <w:t xml:space="preserve"> </w:t>
      </w:r>
      <w:r>
        <w:rPr>
          <w:i/>
        </w:rPr>
        <w:t xml:space="preserve">The Lancet</w:t>
      </w:r>
      <w:r>
        <w:t xml:space="preserve"> </w:t>
      </w:r>
      <w:r>
        <w:t xml:space="preserve">2006;</w:t>
      </w:r>
      <w:r>
        <w:t xml:space="preserve"> </w:t>
      </w:r>
      <w:r>
        <w:rPr>
          <w:b/>
        </w:rPr>
        <w:t xml:space="preserve">368</w:t>
      </w:r>
      <w:r>
        <w:t xml:space="preserve">: 2017–27.</w:t>
      </w:r>
    </w:p>
    <w:p>
      <w:pPr>
        <w:pStyle w:val="Bibliography"/>
      </w:pPr>
      <w:r>
        <w:t xml:space="preserve">4 King G, Gakidou E, Imai K</w:t>
      </w:r>
      <w:r>
        <w:t xml:space="preserve"> </w:t>
      </w:r>
      <w:r>
        <w:rPr>
          <w:i/>
        </w:rPr>
        <w:t xml:space="preserve">et al.</w:t>
      </w:r>
      <w:r>
        <w:t xml:space="preserve"> </w:t>
      </w:r>
      <w:r>
        <w:t xml:space="preserve">Public policy for the poor? A randomised assessment of the mexican universal health insurance programme.</w:t>
      </w:r>
      <w:r>
        <w:t xml:space="preserve"> </w:t>
      </w:r>
      <w:r>
        <w:rPr>
          <w:i/>
        </w:rPr>
        <w:t xml:space="preserve">The Lancet</w:t>
      </w:r>
      <w:r>
        <w:t xml:space="preserve"> </w:t>
      </w:r>
      <w:r>
        <w:t xml:space="preserve">2009;</w:t>
      </w:r>
      <w:r>
        <w:t xml:space="preserve"> </w:t>
      </w:r>
      <w:r>
        <w:rPr>
          <w:b/>
        </w:rPr>
        <w:t xml:space="preserve">373</w:t>
      </w:r>
      <w:r>
        <w:t xml:space="preserve">: 1447–54.</w:t>
      </w:r>
    </w:p>
    <w:p>
      <w:pPr>
        <w:pStyle w:val="Bibliography"/>
      </w:pPr>
      <w:r>
        <w:t xml:space="preserve">5 Wang H, Naghavi M, Allen C</w:t>
      </w:r>
      <w:r>
        <w:t xml:space="preserve"> </w:t>
      </w:r>
      <w:r>
        <w:rPr>
          <w:i/>
        </w:rPr>
        <w:t xml:space="preserve">et al.</w:t>
      </w:r>
      <w:r>
        <w:t xml:space="preserve"> </w:t>
      </w:r>
      <w:r>
        <w:t xml:space="preserve">Global, regional, and national life expectancy, all-cause mortality, and cause-specific mortality for 249 causes of death, 1980–2015: A systematic analysis for the global burden of disease study 2015.</w:t>
      </w:r>
      <w:r>
        <w:t xml:space="preserve"> </w:t>
      </w:r>
      <w:r>
        <w:rPr>
          <w:i/>
        </w:rPr>
        <w:t xml:space="preserve">The Lancet</w:t>
      </w:r>
      <w:r>
        <w:t xml:space="preserve"> </w:t>
      </w:r>
      <w:r>
        <w:t xml:space="preserve">2016;</w:t>
      </w:r>
      <w:r>
        <w:t xml:space="preserve"> </w:t>
      </w:r>
      <w:r>
        <w:rPr>
          <w:b/>
        </w:rPr>
        <w:t xml:space="preserve">388</w:t>
      </w:r>
      <w:r>
        <w:t xml:space="preserve">: 1459–544.</w:t>
      </w:r>
    </w:p>
    <w:p>
      <w:pPr>
        <w:pStyle w:val="Bibliography"/>
      </w:pPr>
      <w:r>
        <w:t xml:space="preserve">6 Horton R. A new discipline is born: Comparative health-systems studies.</w:t>
      </w:r>
      <w:r>
        <w:t xml:space="preserve"> </w:t>
      </w:r>
      <w:r>
        <w:rPr>
          <w:i/>
        </w:rPr>
        <w:t xml:space="preserve">The Lancet</w:t>
      </w:r>
      <w:r>
        <w:t xml:space="preserve"> </w:t>
      </w:r>
      <w:r>
        <w:t xml:space="preserve">2006;</w:t>
      </w:r>
      <w:r>
        <w:t xml:space="preserve"> </w:t>
      </w:r>
      <w:r>
        <w:rPr>
          <w:b/>
        </w:rPr>
        <w:t xml:space="preserve">368</w:t>
      </w:r>
      <w:r>
        <w:t xml:space="preserve">: 1949–50.</w:t>
      </w:r>
    </w:p>
    <w:p>
      <w:pPr>
        <w:pStyle w:val="Bibliography"/>
      </w:pPr>
      <w:r>
        <w:t xml:space="preserve">7 Dwyer-Lindgren L, Gakidou E, Flaxman A, Wang H. Error and bias in under-5 mortality estimates derived from birth histories with small sample sizes.</w:t>
      </w:r>
      <w:r>
        <w:t xml:space="preserve"> </w:t>
      </w:r>
      <w:r>
        <w:rPr>
          <w:i/>
        </w:rPr>
        <w:t xml:space="preserve">Popul Health Metr</w:t>
      </w:r>
      <w:r>
        <w:t xml:space="preserve"> </w:t>
      </w:r>
      <w:r>
        <w:t xml:space="preserve">2013;</w:t>
      </w:r>
      <w:r>
        <w:t xml:space="preserve"> </w:t>
      </w:r>
      <w:r>
        <w:rPr>
          <w:b/>
        </w:rPr>
        <w:t xml:space="preserve">11</w:t>
      </w:r>
      <w:r>
        <w:t xml:space="preserve">: 13.</w:t>
      </w:r>
    </w:p>
    <w:p>
      <w:pPr>
        <w:pStyle w:val="Bibliography"/>
      </w:pPr>
      <w:r>
        <w:t xml:space="preserve">8 Mercer LD, Wakefield J, Pantazis A, Lutambi AM, Masanja H, Clark S. Space–time smoothing of complex survey data: Small area estimation for child mortality.</w:t>
      </w:r>
      <w:r>
        <w:t xml:space="preserve"> </w:t>
      </w:r>
      <w:r>
        <w:rPr>
          <w:i/>
        </w:rPr>
        <w:t xml:space="preserve">Ann Appl Stat</w:t>
      </w:r>
      <w:r>
        <w:t xml:space="preserve"> </w:t>
      </w:r>
      <w:r>
        <w:t xml:space="preserve">2015;</w:t>
      </w:r>
      <w:r>
        <w:t xml:space="preserve"> </w:t>
      </w:r>
      <w:r>
        <w:rPr>
          <w:b/>
        </w:rPr>
        <w:t xml:space="preserve">9</w:t>
      </w:r>
      <w:r>
        <w:t xml:space="preserve">: 1889–905.</w:t>
      </w:r>
    </w:p>
    <w:p>
      <w:pPr>
        <w:pStyle w:val="Bibliography"/>
      </w:pPr>
      <w:r>
        <w:t xml:space="preserve">9 Verhulst A. Child mortality estimation: An assessment of summary birth history methods using microsimulation.</w:t>
      </w:r>
      <w:r>
        <w:t xml:space="preserve"> </w:t>
      </w:r>
      <w:r>
        <w:rPr>
          <w:i/>
        </w:rPr>
        <w:t xml:space="preserve">Demographic Research</w:t>
      </w:r>
      <w:r>
        <w:t xml:space="preserve"> </w:t>
      </w:r>
      <w:r>
        <w:t xml:space="preserve">2016;</w:t>
      </w:r>
      <w:r>
        <w:t xml:space="preserve"> </w:t>
      </w:r>
      <w:r>
        <w:rPr>
          <w:b/>
        </w:rPr>
        <w:t xml:space="preserve">34</w:t>
      </w:r>
      <w:r>
        <w:t xml:space="preserve">: 1075–128.</w:t>
      </w:r>
    </w:p>
    <w:p>
      <w:pPr>
        <w:pStyle w:val="Bibliography"/>
      </w:pPr>
      <w:r>
        <w:t xml:space="preserve">10 Case A, Deaton A. Rising morbidity and mortality in midlife among white non-hispanic americans in the 21st century.</w:t>
      </w:r>
      <w:r>
        <w:t xml:space="preserve"> </w:t>
      </w:r>
      <w:r>
        <w:rPr>
          <w:i/>
        </w:rPr>
        <w:t xml:space="preserve">PNAS</w:t>
      </w:r>
      <w:r>
        <w:t xml:space="preserve"> </w:t>
      </w:r>
      <w:r>
        <w:t xml:space="preserve">2015;</w:t>
      </w:r>
      <w:r>
        <w:t xml:space="preserve"> </w:t>
      </w:r>
      <w:r>
        <w:rPr>
          <w:b/>
        </w:rPr>
        <w:t xml:space="preserve">112</w:t>
      </w:r>
      <w:r>
        <w:t xml:space="preserve">: 15078–83.</w:t>
      </w:r>
    </w:p>
    <w:p>
      <w:pPr>
        <w:pStyle w:val="Bibliography"/>
      </w:pPr>
      <w:r>
        <w:t xml:space="preserve">11 Dwyer-Lindgren L, Bertozzi-Villa A, Stubbs RW</w:t>
      </w:r>
      <w:r>
        <w:t xml:space="preserve"> </w:t>
      </w:r>
      <w:r>
        <w:rPr>
          <w:i/>
        </w:rPr>
        <w:t xml:space="preserve">et al.</w:t>
      </w:r>
      <w:r>
        <w:t xml:space="preserve"> </w:t>
      </w:r>
      <w:r>
        <w:t xml:space="preserve">Inequalities in life expectancy among US counties, 1980 to 2014: Temporal trends and key drivers.</w:t>
      </w:r>
      <w:r>
        <w:t xml:space="preserve"> </w:t>
      </w:r>
      <w:r>
        <w:rPr>
          <w:i/>
        </w:rPr>
        <w:t xml:space="preserve">JAMA Intern Med</w:t>
      </w:r>
      <w:r>
        <w:t xml:space="preserve"> </w:t>
      </w:r>
      <w:r>
        <w:t xml:space="preserve">2017; published online May 8. DOI:</w:t>
      </w:r>
      <w:hyperlink r:id="rId32">
        <w:r>
          <w:rPr>
            <w:rStyle w:val="Hyperlink"/>
          </w:rPr>
          <w:t xml:space="preserve">10.1001/jamainternmed.2017.0918</w:t>
        </w:r>
      </w:hyperlink>
      <w:r>
        <w:t xml:space="preserve">.</w:t>
      </w:r>
    </w:p>
    <w:p>
      <w:pPr>
        <w:pStyle w:val="Bibliography"/>
      </w:pPr>
      <w:r>
        <w:t xml:space="preserve">12 Soja EW. Seeking spatial justice. U of Minnesota Press, 2010.</w:t>
      </w:r>
    </w:p>
    <w:p>
      <w:pPr>
        <w:pStyle w:val="Bibliography"/>
      </w:pPr>
      <w:r>
        <w:t xml:space="preserve">13 Morris SS, Black RE, Tomaskovic L. Predicting the distribution of under-five deaths by cause in countries without adequate vital registration systems.</w:t>
      </w:r>
      <w:r>
        <w:t xml:space="preserve"> </w:t>
      </w:r>
      <w:r>
        <w:rPr>
          <w:i/>
        </w:rPr>
        <w:t xml:space="preserve">Int J Epidemiol</w:t>
      </w:r>
      <w:r>
        <w:t xml:space="preserve"> </w:t>
      </w:r>
      <w:r>
        <w:t xml:space="preserve">2003;</w:t>
      </w:r>
      <w:r>
        <w:t xml:space="preserve"> </w:t>
      </w:r>
      <w:r>
        <w:rPr>
          <w:b/>
        </w:rPr>
        <w:t xml:space="preserve">32</w:t>
      </w:r>
      <w:r>
        <w:t xml:space="preserve">: 1041–51.</w:t>
      </w:r>
    </w:p>
    <w:p>
      <w:pPr>
        <w:pStyle w:val="Bibliography"/>
      </w:pPr>
      <w:r>
        <w:t xml:space="preserve">14 Mahapatra P, Shibuya K, Lopez AD</w:t>
      </w:r>
      <w:r>
        <w:t xml:space="preserve"> </w:t>
      </w:r>
      <w:r>
        <w:rPr>
          <w:i/>
        </w:rPr>
        <w:t xml:space="preserve">et al.</w:t>
      </w:r>
      <w:r>
        <w:t xml:space="preserve"> </w:t>
      </w:r>
      <w:r>
        <w:t xml:space="preserve">Civil registration systems and vital statistics: Successes and missed opportunities.</w:t>
      </w:r>
      <w:r>
        <w:t xml:space="preserve"> </w:t>
      </w:r>
      <w:r>
        <w:rPr>
          <w:i/>
        </w:rPr>
        <w:t xml:space="preserve">The Lancet</w:t>
      </w:r>
      <w:r>
        <w:t xml:space="preserve"> </w:t>
      </w:r>
      <w:r>
        <w:t xml:space="preserve">2007;</w:t>
      </w:r>
      <w:r>
        <w:t xml:space="preserve"> </w:t>
      </w:r>
      <w:r>
        <w:rPr>
          <w:b/>
        </w:rPr>
        <w:t xml:space="preserve">370</w:t>
      </w:r>
      <w:r>
        <w:t xml:space="preserve">: 1653–63.</w:t>
      </w:r>
    </w:p>
    <w:p>
      <w:pPr>
        <w:pStyle w:val="Bibliography"/>
      </w:pPr>
      <w:r>
        <w:t xml:space="preserve">15 The under-registration of births in mexico: Consequences for children, adults, and migrants. Migrationpolicy.org. 2012; published online April 12.</w:t>
      </w:r>
      <w:r>
        <w:t xml:space="preserve"> </w:t>
      </w:r>
      <w:hyperlink r:id="rId33">
        <w:r>
          <w:rPr>
            <w:rStyle w:val="Hyperlink"/>
          </w:rPr>
          <w:t xml:space="preserve">http://www.migrationpolicy.org/article/under-registration-births-mexico-consequences-children-adults-and-migrants</w:t>
        </w:r>
      </w:hyperlink>
      <w:r>
        <w:t xml:space="preserve"> </w:t>
      </w:r>
      <w:r>
        <w:t xml:space="preserve">(accessed May 16, 2017).</w:t>
      </w:r>
    </w:p>
    <w:p>
      <w:pPr>
        <w:pStyle w:val="Bibliography"/>
      </w:pPr>
      <w:r>
        <w:t xml:space="preserve">16 Hildebrandt N, McKenzie DJ, Esquivel G, Schargrodsky E. The effects of migration on child health in mexico [with comments].</w:t>
      </w:r>
      <w:r>
        <w:t xml:space="preserve"> </w:t>
      </w:r>
      <w:r>
        <w:rPr>
          <w:i/>
        </w:rPr>
        <w:t xml:space="preserve">Economía</w:t>
      </w:r>
      <w:r>
        <w:t xml:space="preserve"> </w:t>
      </w:r>
      <w:r>
        <w:t xml:space="preserve">2005;</w:t>
      </w:r>
      <w:r>
        <w:t xml:space="preserve"> </w:t>
      </w:r>
      <w:r>
        <w:rPr>
          <w:b/>
        </w:rPr>
        <w:t xml:space="preserve">6</w:t>
      </w:r>
      <w:r>
        <w:t xml:space="preserve">: 257–89.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0551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migrationpolicy.org/article/under-registration-births-mexico-consequences-children-adults-and-migrants" TargetMode="External" /><Relationship Type="http://schemas.openxmlformats.org/officeDocument/2006/relationships/hyperlink" Id="rId32" Target="https://doi.org/10.1001/jamainternmed.2017.0918" TargetMode="External" /></Relationships>
</file>

<file path=word/_rels/footnotes.xml.rels><?xml version="1.0" encoding="UTF-8"?>
<Relationships xmlns="http://schemas.openxmlformats.org/package/2006/relationships"><Relationship Type="http://schemas.openxmlformats.org/officeDocument/2006/relationships/hyperlink" Id="rId33" Target="http://www.migrationpolicy.org/article/under-registration-births-mexico-consequences-children-adults-and-migrants" TargetMode="External" /><Relationship Type="http://schemas.openxmlformats.org/officeDocument/2006/relationships/hyperlink" Id="rId32" Target="https://doi.org/10.1001/jamainternmed.2017.09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