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2"/>
          <w:szCs w:val="52"/>
        </w:rPr>
        <w:t xml:space="preserve">UBL Banking Systems</w:t>
      </w:r>
    </w:p>
    <w:p>
      <w:pPr>
        <w:spacing w:before="200"/>
        <w:jc w:val="center"/>
      </w:pPr>
      <w:r>
        <w:rPr>
          <w:rFonts w:ascii="Arial" w:cs="Arial" w:eastAsia="Arial" w:hAnsi="Arial"/>
          <w:color w:val="2E86C1"/>
          <w:sz w:val="28"/>
          <w:szCs w:val="28"/>
        </w:rPr>
        <w:t xml:space="preserve">Enterprise Architecture &amp; Technology Reference</w:t>
      </w:r>
    </w:p>
    <w:p>
      <w:pPr>
        <w:pBdr>
          <w:top w:val="single" w:color="1ABC9C" w:sz="2" w:space="8"/>
        </w:pBdr>
        <w:spacing w:before="600"/>
        <w:jc w:val="center"/>
      </w:pPr>
    </w:p>
    <w:p>
      <w:pPr>
        <w:spacing w:before="200"/>
        <w:jc w:val="center"/>
      </w:pPr>
      <w:r>
        <w:rPr>
          <w:rFonts w:ascii="Arial" w:cs="Arial" w:eastAsia="Arial" w:hAnsi="Arial"/>
          <w:color w:val="2C3E50"/>
          <w:sz w:val="22"/>
          <w:szCs w:val="22"/>
        </w:rPr>
        <w:t xml:space="preserve">CTL/PRIME Card Management System</w:t>
      </w:r>
    </w:p>
    <w:p>
      <w:pPr>
        <w:jc w:val="center"/>
      </w:pPr>
      <w:r>
        <w:rPr>
          <w:rFonts w:ascii="Arial" w:cs="Arial" w:eastAsia="Arial" w:hAnsi="Arial"/>
          <w:color w:val="2C3E50"/>
          <w:sz w:val="22"/>
          <w:szCs w:val="22"/>
        </w:rPr>
        <w:t xml:space="preserve">Teradata FSDM Data Warehouse Architecture</w:t>
      </w:r>
    </w:p>
    <w:p>
      <w:pPr>
        <w:jc w:val="center"/>
      </w:pPr>
      <w:r>
        <w:rPr>
          <w:rFonts w:ascii="Arial" w:cs="Arial" w:eastAsia="Arial" w:hAnsi="Arial"/>
          <w:color w:val="2C3E50"/>
          <w:sz w:val="22"/>
          <w:szCs w:val="22"/>
        </w:rPr>
        <w:t xml:space="preserve">TVA Profitability Engine &amp; Cost Allocation</w:t>
      </w:r>
    </w:p>
    <w:p>
      <w:pPr>
        <w:jc w:val="center"/>
      </w:pPr>
      <w:r>
        <w:rPr>
          <w:rFonts w:ascii="Arial" w:cs="Arial" w:eastAsia="Arial" w:hAnsi="Arial"/>
          <w:color w:val="2C3E50"/>
          <w:sz w:val="22"/>
          <w:szCs w:val="22"/>
        </w:rPr>
        <w:t xml:space="preserve">Silkbank Merger &amp; Technology Integration</w:t>
      </w:r>
    </w:p>
    <w:p>
      <w:pPr>
        <w:jc w:val="center"/>
      </w:pPr>
      <w:r>
        <w:rPr>
          <w:rFonts w:ascii="Arial" w:cs="Arial" w:eastAsia="Arial" w:hAnsi="Arial"/>
          <w:color w:val="2C3E50"/>
          <w:sz w:val="22"/>
          <w:szCs w:val="22"/>
        </w:rPr>
        <w:t xml:space="preserve">UBL Technology Evolution 2017-2025</w:t>
      </w:r>
    </w:p>
    <w:p>
      <w:pPr>
        <w:spacing w:before="800"/>
        <w:jc w:val="center"/>
      </w:pPr>
      <w:r>
        <w:rPr>
          <w:rFonts w:ascii="Arial" w:cs="Arial" w:eastAsia="Arial" w:hAnsi="Arial"/>
          <w:color w:val="2E86C1"/>
          <w:sz w:val="20"/>
          <w:szCs w:val="20"/>
        </w:rPr>
        <w:t xml:space="preserve">Reference Document | February 2026</w:t>
      </w:r>
    </w:p>
    <w:p>
      <w:pPr>
        <w:spacing w:before="100"/>
        <w:jc w:val="center"/>
      </w:pPr>
      <w:r>
        <w:rPr>
          <w:rFonts w:ascii="Arial" w:cs="Arial" w:eastAsia="Arial" w:hAnsi="Arial"/>
          <w:color w:val="2E86C1"/>
          <w:sz w:val="20"/>
          <w:szCs w:val="20"/>
        </w:rPr>
        <w:t xml:space="preserve">Prepared by: Noman | Banking Systems Architecture</w:t>
      </w:r>
    </w:p>
    <w:p>
      <w:r>
        <w:br w:type="page"/>
      </w:r>
    </w:p>
    <w:p>
      <w:pPr>
        <w:pStyle w:val="Heading1"/>
        <w:spacing w:after="4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1. CTL / PRIME Card Management System</w:t>
      </w:r>
    </w:p>
    <w:p>
      <w:pPr>
        <w:pStyle w:val="Heading2"/>
        <w:spacing w:before="280" w:after="160"/>
      </w:pPr>
      <w:r>
        <w:rPr>
          <w:rFonts w:ascii="Arial" w:cs="Arial" w:eastAsia="Arial" w:hAnsi="Arial"/>
          <w:b/>
          <w:bCs/>
          <w:color w:val="2E86C1"/>
          <w:sz w:val="26"/>
          <w:szCs w:val="26"/>
        </w:rPr>
        <w:t xml:space="preserve">1.1 Background &amp; History</w:t>
      </w:r>
    </w:p>
    <w:p>
      <w:pPr>
        <w:spacing w:before="80" w:after="80"/>
        <w:jc w:val="both"/>
      </w:pPr>
      <w:r>
        <w:rPr>
          <w:rFonts w:ascii="Arial" w:cs="Arial" w:eastAsia="Arial" w:hAnsi="Arial"/>
          <w:color w:val="2C3E50"/>
          <w:sz w:val="20"/>
          <w:szCs w:val="20"/>
        </w:rPr>
        <w:t xml:space="preserve">Card Tech Limited (CTL) was a London-based company that developed PRIME, one of the industry's first PC-based card management systems. Released in 1995, PRIME took the mantle from CTL's earlier product 'Cardman' which was installed at 117 banks in 39 countries. The modular PRIME system was one of the first to support chip card issuing and acquiring, and was recommended by three major payment associations to their member financial institutions.</w:t>
      </w:r>
    </w:p>
    <w:p>
      <w:pPr>
        <w:spacing w:before="80" w:after="80"/>
        <w:jc w:val="both"/>
      </w:pPr>
      <w:r>
        <w:rPr>
          <w:rFonts w:ascii="Arial" w:cs="Arial" w:eastAsia="Arial" w:hAnsi="Arial"/>
          <w:color w:val="2C3E50"/>
          <w:sz w:val="20"/>
          <w:szCs w:val="20"/>
        </w:rPr>
        <w:t xml:space="preserve">In 2006, TSYS (Total System Services) acquired CTL, and the system became known as TSYS PRIME. Today, PRIME's established footprint covers approximately 70 countries across Asia-Pacific, Africa, CIS, Europe, India and Southeast Asia, Latin America and the Caribbean, and the Middle East. TSYS manages over 816 million accounts with nearly 200 clients globally, processing 44 million payments per day.</w:t>
      </w:r>
    </w:p>
    <w:p>
      <w:pPr>
        <w:spacing w:before="80" w:after="80"/>
        <w:jc w:val="both"/>
      </w:pPr>
      <w:r>
        <w:rPr>
          <w:rFonts w:ascii="Arial" w:cs="Arial" w:eastAsia="Arial" w:hAnsi="Arial"/>
          <w:color w:val="2C3E50"/>
          <w:sz w:val="20"/>
          <w:szCs w:val="20"/>
        </w:rPr>
        <w:t xml:space="preserve">UBL was one of the first two Pakistani banks to license CTL's PRIME solution (along with Union Bank) in 2004. The full CTL implementation at UBL was completed in 2017, establishing the card management backbone that integrates with the core banking system and feeds the enterprise Data Warehouse on Teradata FSDM.</w:t>
      </w:r>
    </w:p>
    <w:p>
      <w:pPr>
        <w:pStyle w:val="Heading2"/>
        <w:spacing w:before="280" w:after="160"/>
      </w:pPr>
      <w:r>
        <w:rPr>
          <w:rFonts w:ascii="Arial" w:cs="Arial" w:eastAsia="Arial" w:hAnsi="Arial"/>
          <w:b/>
          <w:bCs/>
          <w:color w:val="2E86C1"/>
          <w:sz w:val="26"/>
          <w:szCs w:val="26"/>
        </w:rPr>
        <w:t xml:space="preserve">1.2 PRIME System Architecture Overview</w:t>
      </w:r>
    </w:p>
    <w:p>
      <w:pPr>
        <w:spacing w:before="80" w:after="80"/>
        <w:jc w:val="both"/>
      </w:pPr>
      <w:r>
        <w:rPr>
          <w:rFonts w:ascii="Arial" w:cs="Arial" w:eastAsia="Arial" w:hAnsi="Arial"/>
          <w:color w:val="2C3E50"/>
          <w:sz w:val="20"/>
          <w:szCs w:val="20"/>
        </w:rPr>
        <w:t xml:space="preserve">PRIME is built as a modular, multi-institution platform running on Oracle database with web-based front-end interfaces. The architecture consists of several integrated components that handle the complete card lifecycle from issuance to settlement.</w:t>
      </w:r>
    </w:p>
    <w:p>
      <w:pPr>
        <w:spacing w:before="200" w:after="120"/>
      </w:pPr>
      <w:r>
        <w:rPr>
          <w:rFonts w:ascii="Arial" w:cs="Arial" w:eastAsia="Arial" w:hAnsi="Arial"/>
          <w:b/>
          <w:bCs/>
          <w:color w:val="2C3E50"/>
          <w:sz w:val="22"/>
          <w:szCs w:val="22"/>
        </w:rPr>
        <w:t xml:space="preserve">Core PRIME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Module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Key Capabilities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PRIME Card Management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 issuance and lifecycle</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Issue, activate, block, replace, renew, close cards; embossing file generation; plastic production management</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PRIME Account Management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Financial processing engine</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Billing, statements, interest/profit calculation, fees, payment processing, aging buckets, minimum due calculation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PRIME Customer Services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CRM and case management</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inquiry screens, case management with Oracle Workflow, service request tracking, push/pull interface</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PRIME ONLINE</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Real-time authorization</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ISO 8583 message switching, stand-in processing, real-time auth decisions, device controller integration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PRIME Merchant Management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Acquirer-side operations</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Terminal management, merchant onboarding, settlement processing, MCC management</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FRAUDGUARD</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Fraud detection</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Real-time fraud scoring, rule-based detection, velocity checks, suspicious transaction monitoring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NCRYPT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Security &amp; key management</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HSM integration, PIN management, CVV/iCVV generation, encryption key lifecycle</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Dispute Manager</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Chargeback lifecycle</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First presentment, second presentment, arbitration, chargeback reason code management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Loyalty/Rewards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Points and rewards</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Points accrual rules, redemption management, tier management, partner program integration</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Collections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Delinquency management</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Work queues, promise-to-pay tracking, write-off processing, recovery management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Reporting/MIS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Analytics and reporting</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Standard reports, custom reports, regulatory reporting, data extracts for DWH</w:t>
            </w:r>
          </w:p>
        </w:tc>
      </w:tr>
    </w:tbl>
    <w:p>
      <w:pPr>
        <w:spacing w:before="80" w:after="80"/>
      </w:pPr>
    </w:p>
    <w:p>
      <w:pPr>
        <w:pStyle w:val="Heading2"/>
        <w:spacing w:before="280" w:after="160"/>
      </w:pPr>
      <w:r>
        <w:rPr>
          <w:rFonts w:ascii="Arial" w:cs="Arial" w:eastAsia="Arial" w:hAnsi="Arial"/>
          <w:b/>
          <w:bCs/>
          <w:color w:val="2E86C1"/>
          <w:sz w:val="26"/>
          <w:szCs w:val="26"/>
        </w:rPr>
        <w:t xml:space="preserve">1.3 Core Data Hierarchy: Institution &gt; Customer &gt; Account &gt; Card</w:t>
      </w:r>
    </w:p>
    <w:p>
      <w:pPr>
        <w:spacing w:before="80" w:after="80"/>
        <w:jc w:val="both"/>
      </w:pPr>
      <w:r>
        <w:rPr>
          <w:rFonts w:ascii="Arial" w:cs="Arial" w:eastAsia="Arial" w:hAnsi="Arial"/>
          <w:color w:val="2C3E50"/>
          <w:sz w:val="20"/>
          <w:szCs w:val="20"/>
        </w:rPr>
        <w:t xml:space="preserve">The fundamental entity relationship in CTL/PRIME follows a strict four-level hierarchy. Understanding this hierarchy is critical for data warehouse modeling and profitability calculations.</w:t>
      </w:r>
    </w:p>
    <w:p>
      <w:pPr>
        <w:spacing w:before="200" w:after="120"/>
      </w:pPr>
      <w:r>
        <w:rPr>
          <w:rFonts w:ascii="Arial" w:cs="Arial" w:eastAsia="Arial" w:hAnsi="Arial"/>
          <w:b/>
          <w:bCs/>
          <w:color w:val="2C3E50"/>
          <w:sz w:val="22"/>
          <w:szCs w:val="22"/>
        </w:rPr>
        <w:t xml:space="preserve">Level 1: Institution (Client)</w:t>
      </w:r>
    </w:p>
    <w:p>
      <w:pPr>
        <w:spacing w:before="80" w:after="80"/>
        <w:jc w:val="both"/>
      </w:pPr>
      <w:r>
        <w:rPr>
          <w:rFonts w:ascii="Arial" w:cs="Arial" w:eastAsia="Arial" w:hAnsi="Arial"/>
          <w:color w:val="2C3E50"/>
          <w:sz w:val="20"/>
          <w:szCs w:val="20"/>
        </w:rPr>
        <w:t xml:space="preserve">The top-level entity. PRIME supports multi-institution capability, meaning a single installation can host multiple banks/institutions. This is useful for group banking, third-party processors, and shared service centers. Each institution maintains its own configuration for products, fees, interest rates, credit limits, and scheme compliance settings.</w:t>
      </w:r>
    </w:p>
    <w:p>
      <w:pPr>
        <w:spacing w:before="200" w:after="120"/>
      </w:pPr>
      <w:r>
        <w:rPr>
          <w:rFonts w:ascii="Arial" w:cs="Arial" w:eastAsia="Arial" w:hAnsi="Arial"/>
          <w:b/>
          <w:bCs/>
          <w:color w:val="2C3E50"/>
          <w:sz w:val="22"/>
          <w:szCs w:val="22"/>
        </w:rPr>
        <w:t xml:space="preserve">Level 2: Customer</w:t>
      </w:r>
    </w:p>
    <w:p>
      <w:pPr>
        <w:spacing w:before="80" w:after="80"/>
        <w:jc w:val="both"/>
      </w:pPr>
      <w:r>
        <w:rPr>
          <w:rFonts w:ascii="Arial" w:cs="Arial" w:eastAsia="Arial" w:hAnsi="Arial"/>
          <w:color w:val="2C3E50"/>
          <w:sz w:val="20"/>
          <w:szCs w:val="20"/>
        </w:rPr>
        <w:t xml:space="preserve">The customer represents the person or entity who has a relationship with the bank for card products. In CTL, customer data includes demographics, KYC information, contact details, employer data, income details, credit scoring history, and relationship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Customer Type</w:t>
            </w:r>
          </w:p>
        </w:tc>
        <w:tc>
          <w:tcPr>
            <w:tcW w:type="dxa" w:w="3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Usage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Primary Customer</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Main applicant and account holder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Primary credit relationship, receives primary card</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Supplementary Customer</w:t>
            </w:r>
          </w:p>
        </w:tc>
        <w:tc>
          <w:tcPr>
            <w:tcW w:type="dxa" w:w="3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Authorized additional cardholder</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Family members, dependents; shares credit limit of primary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Corporate Customer</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Business entity</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Corporate card programs, purchasing cards, fleet cards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Guarantor</w:t>
            </w:r>
          </w:p>
        </w:tc>
        <w:tc>
          <w:tcPr>
            <w:tcW w:type="dxa" w:w="3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Person guaranteeing the credit</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Linked to account for risk/collection purposes</w:t>
            </w:r>
          </w:p>
        </w:tc>
      </w:tr>
    </w:tbl>
    <w:p>
      <w:pPr>
        <w:spacing w:before="80" w:after="80"/>
      </w:pPr>
    </w:p>
    <w:p>
      <w:pPr>
        <w:spacing w:before="80" w:after="80"/>
        <w:jc w:val="both"/>
      </w:pPr>
      <w:r>
        <w:rPr>
          <w:rFonts w:ascii="Arial" w:cs="Arial" w:eastAsia="Arial" w:hAnsi="Arial"/>
          <w:color w:val="2C3E50"/>
          <w:sz w:val="20"/>
          <w:szCs w:val="20"/>
        </w:rPr>
        <w:t xml:space="preserve">In the UBL context, the CTL customer record integrates with the core banking CIF (Customer Information File) through batch and real-time synchronization interfaces, ensuring a unified customer view across all banking products.</w:t>
      </w:r>
    </w:p>
    <w:p>
      <w:pPr>
        <w:spacing w:before="200" w:after="120"/>
      </w:pPr>
      <w:r>
        <w:rPr>
          <w:rFonts w:ascii="Arial" w:cs="Arial" w:eastAsia="Arial" w:hAnsi="Arial"/>
          <w:b/>
          <w:bCs/>
          <w:color w:val="2C3E50"/>
          <w:sz w:val="22"/>
          <w:szCs w:val="22"/>
        </w:rPr>
        <w:t xml:space="preserve">Level 3: Account (Financial Account)</w:t>
      </w:r>
    </w:p>
    <w:p>
      <w:pPr>
        <w:spacing w:before="80" w:after="80"/>
        <w:jc w:val="both"/>
      </w:pPr>
      <w:r>
        <w:rPr>
          <w:rFonts w:ascii="Arial" w:cs="Arial" w:eastAsia="Arial" w:hAnsi="Arial"/>
          <w:color w:val="2C3E50"/>
          <w:sz w:val="20"/>
          <w:szCs w:val="20"/>
        </w:rPr>
        <w:t xml:space="preserve">The account is the financial entity - the billing and credit relationship. This is where all financial processing occurs. One customer can have multiple accounts, and one account can have multiple cards linked to it. The account level is the primary level for financial calculations in the profitability engine.</w:t>
      </w:r>
    </w:p>
    <w:p>
      <w:pPr>
        <w:spacing w:before="80" w:after="80"/>
        <w:jc w:val="both"/>
      </w:pPr>
      <w:r>
        <w:rPr>
          <w:rFonts w:ascii="Arial" w:cs="Arial" w:eastAsia="Arial" w:hAnsi="Arial"/>
          <w:color w:val="2C3E50"/>
          <w:sz w:val="20"/>
          <w:szCs w:val="20"/>
        </w:rPr>
        <w:t xml:space="preserve">Key financial attributes managed at the account level include:</w:t>
      </w:r>
    </w:p>
    <w:p>
      <w:pPr>
        <w:spacing w:before="60" w:after="60"/>
      </w:pPr>
      <w:r>
        <w:rPr>
          <w:rFonts w:ascii="Arial" w:cs="Arial" w:eastAsia="Arial" w:hAnsi="Arial"/>
          <w:b/>
          <w:bCs/>
          <w:color w:val="2C3E50"/>
          <w:sz w:val="20"/>
          <w:szCs w:val="20"/>
        </w:rPr>
        <w:t xml:space="preserve">Credit Limit:</w:t>
      </w:r>
      <w:r>
        <w:rPr>
          <w:rFonts w:ascii="Arial" w:cs="Arial" w:eastAsia="Arial" w:hAnsi="Arial"/>
          <w:color w:val="2C3E50"/>
          <w:sz w:val="20"/>
          <w:szCs w:val="20"/>
        </w:rPr>
        <w:t xml:space="preserve"> Assigned at account level, shared across all cards on the account.</w:t>
      </w:r>
    </w:p>
    <w:p>
      <w:pPr>
        <w:spacing w:before="60" w:after="60"/>
      </w:pPr>
      <w:r>
        <w:rPr>
          <w:rFonts w:ascii="Arial" w:cs="Arial" w:eastAsia="Arial" w:hAnsi="Arial"/>
          <w:b/>
          <w:bCs/>
          <w:color w:val="2C3E50"/>
          <w:sz w:val="20"/>
          <w:szCs w:val="20"/>
        </w:rPr>
        <w:t xml:space="preserve">Billing Cycle:</w:t>
      </w:r>
      <w:r>
        <w:rPr>
          <w:rFonts w:ascii="Arial" w:cs="Arial" w:eastAsia="Arial" w:hAnsi="Arial"/>
          <w:color w:val="2C3E50"/>
          <w:sz w:val="20"/>
          <w:szCs w:val="20"/>
        </w:rPr>
        <w:t xml:space="preserve"> Statement generation dates, payment due dates, grace period configuration.</w:t>
      </w:r>
    </w:p>
    <w:p>
      <w:pPr>
        <w:spacing w:before="60" w:after="60"/>
      </w:pPr>
      <w:r>
        <w:rPr>
          <w:rFonts w:ascii="Arial" w:cs="Arial" w:eastAsia="Arial" w:hAnsi="Arial"/>
          <w:b/>
          <w:bCs/>
          <w:color w:val="2C3E50"/>
          <w:sz w:val="20"/>
          <w:szCs w:val="20"/>
        </w:rPr>
        <w:t xml:space="preserve">Interest/Profit Calculation:</w:t>
      </w:r>
      <w:r>
        <w:rPr>
          <w:rFonts w:ascii="Arial" w:cs="Arial" w:eastAsia="Arial" w:hAnsi="Arial"/>
          <w:color w:val="2C3E50"/>
          <w:sz w:val="20"/>
          <w:szCs w:val="20"/>
        </w:rPr>
        <w:t xml:space="preserve"> Rate plans, daily accrual, Islamic profit calculations (Murabaha/Tawarruq).</w:t>
      </w:r>
    </w:p>
    <w:p>
      <w:pPr>
        <w:spacing w:before="60" w:after="60"/>
      </w:pPr>
      <w:r>
        <w:rPr>
          <w:rFonts w:ascii="Arial" w:cs="Arial" w:eastAsia="Arial" w:hAnsi="Arial"/>
          <w:b/>
          <w:bCs/>
          <w:color w:val="2C3E50"/>
          <w:sz w:val="20"/>
          <w:szCs w:val="20"/>
        </w:rPr>
        <w:t xml:space="preserve">Fee Structures:</w:t>
      </w:r>
      <w:r>
        <w:rPr>
          <w:rFonts w:ascii="Arial" w:cs="Arial" w:eastAsia="Arial" w:hAnsi="Arial"/>
          <w:color w:val="2C3E50"/>
          <w:sz w:val="20"/>
          <w:szCs w:val="20"/>
        </w:rPr>
        <w:t xml:space="preserve"> Annual fees, late payment fees, over-limit fees, cash advance fees, FX markup.</w:t>
      </w:r>
    </w:p>
    <w:p>
      <w:pPr>
        <w:spacing w:before="60" w:after="60"/>
      </w:pPr>
      <w:r>
        <w:rPr>
          <w:rFonts w:ascii="Arial" w:cs="Arial" w:eastAsia="Arial" w:hAnsi="Arial"/>
          <w:b/>
          <w:bCs/>
          <w:color w:val="2C3E50"/>
          <w:sz w:val="20"/>
          <w:szCs w:val="20"/>
        </w:rPr>
        <w:t xml:space="preserve">Outstanding Balances:</w:t>
      </w:r>
      <w:r>
        <w:rPr>
          <w:rFonts w:ascii="Arial" w:cs="Arial" w:eastAsia="Arial" w:hAnsi="Arial"/>
          <w:color w:val="2C3E50"/>
          <w:sz w:val="20"/>
          <w:szCs w:val="20"/>
        </w:rPr>
        <w:t xml:space="preserve"> Broken into balance buckets - retail, cash advance, balance transfer, installments.</w:t>
      </w:r>
    </w:p>
    <w:p>
      <w:pPr>
        <w:spacing w:before="60" w:after="60"/>
      </w:pPr>
      <w:r>
        <w:rPr>
          <w:rFonts w:ascii="Arial" w:cs="Arial" w:eastAsia="Arial" w:hAnsi="Arial"/>
          <w:b/>
          <w:bCs/>
          <w:color w:val="2C3E50"/>
          <w:sz w:val="20"/>
          <w:szCs w:val="20"/>
        </w:rPr>
        <w:t xml:space="preserve">Payment Processing:</w:t>
      </w:r>
      <w:r>
        <w:rPr>
          <w:rFonts w:ascii="Arial" w:cs="Arial" w:eastAsia="Arial" w:hAnsi="Arial"/>
          <w:color w:val="2C3E50"/>
          <w:sz w:val="20"/>
          <w:szCs w:val="20"/>
        </w:rPr>
        <w:t xml:space="preserve"> Minimum due calculation, payment allocation hierarchy across balance types.</w:t>
      </w:r>
    </w:p>
    <w:p>
      <w:pPr>
        <w:spacing w:before="60" w:after="60"/>
      </w:pPr>
      <w:r>
        <w:rPr>
          <w:rFonts w:ascii="Arial" w:cs="Arial" w:eastAsia="Arial" w:hAnsi="Arial"/>
          <w:b/>
          <w:bCs/>
          <w:color w:val="2C3E50"/>
          <w:sz w:val="20"/>
          <w:szCs w:val="20"/>
        </w:rPr>
        <w:t xml:space="preserve">Aging Buckets:</w:t>
      </w:r>
      <w:r>
        <w:rPr>
          <w:rFonts w:ascii="Arial" w:cs="Arial" w:eastAsia="Arial" w:hAnsi="Arial"/>
          <w:color w:val="2C3E50"/>
          <w:sz w:val="20"/>
          <w:szCs w:val="20"/>
        </w:rPr>
        <w:t xml:space="preserve"> Current, 30, 60, 90, 120+ days for delinquency tracking and provisioning.</w:t>
      </w:r>
    </w:p>
    <w:p>
      <w:pPr>
        <w:spacing w:before="60" w:after="60"/>
      </w:pPr>
      <w:r>
        <w:rPr>
          <w:rFonts w:ascii="Arial" w:cs="Arial" w:eastAsia="Arial" w:hAnsi="Arial"/>
          <w:b/>
          <w:bCs/>
          <w:color w:val="2C3E50"/>
          <w:sz w:val="20"/>
          <w:szCs w:val="20"/>
        </w:rPr>
        <w:t xml:space="preserve">Credit Bureau Reporting:</w:t>
      </w:r>
      <w:r>
        <w:rPr>
          <w:rFonts w:ascii="Arial" w:cs="Arial" w:eastAsia="Arial" w:hAnsi="Arial"/>
          <w:color w:val="2C3E50"/>
          <w:sz w:val="20"/>
          <w:szCs w:val="20"/>
        </w:rPr>
        <w:t xml:space="preserve"> Account-level reporting to eCIB (Pakistan) per SBP regulations.</w:t>
      </w:r>
    </w:p>
    <w:p>
      <w:pPr>
        <w:spacing w:before="80" w:after="80"/>
      </w:pPr>
    </w:p>
    <w:p>
      <w:pPr>
        <w:spacing w:before="200" w:after="120"/>
      </w:pPr>
      <w:r>
        <w:rPr>
          <w:rFonts w:ascii="Arial" w:cs="Arial" w:eastAsia="Arial" w:hAnsi="Arial"/>
          <w:b/>
          <w:bCs/>
          <w:color w:val="2C3E50"/>
          <w:sz w:val="22"/>
          <w:szCs w:val="22"/>
        </w:rPr>
        <w:t xml:space="preserve">Account Types in 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Account Type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Financial Behavior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Revolving Credit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Standard credit card account</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Balance revolves month-to-month with interest on unpaid portion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Charge Account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Full payment due each cycle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No revolving balance; similar to Amex charge card model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Installment Account (EPP)</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Fixed EMI-based repayment</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Equal monthly payments over fixed tenure at fixed rate</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Prepaid Account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Loaded with funds, no credit line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Stored value; cannot go negative; used for gift/travel/payroll cards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Debit Account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Linked to demand deposit in core banking</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Real-time balance check against savings/current account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Corporate/Commercial</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Hierarchical billing structure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Individual vs. company billing; spending controls per cardholder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Loan Account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Consumer lending on card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Personal loan disbursed to card; fixed repayment schedule</w:t>
            </w:r>
          </w:p>
        </w:tc>
      </w:tr>
    </w:tbl>
    <w:p>
      <w:pPr>
        <w:spacing w:before="80" w:after="80"/>
      </w:pPr>
    </w:p>
    <w:p>
      <w:pPr>
        <w:spacing w:before="200" w:after="120"/>
      </w:pPr>
      <w:r>
        <w:rPr>
          <w:rFonts w:ascii="Arial" w:cs="Arial" w:eastAsia="Arial" w:hAnsi="Arial"/>
          <w:b/>
          <w:bCs/>
          <w:color w:val="2C3E50"/>
          <w:sz w:val="22"/>
          <w:szCs w:val="22"/>
        </w:rPr>
        <w:t xml:space="preserve">Level 4: Card</w:t>
      </w:r>
    </w:p>
    <w:p>
      <w:pPr>
        <w:spacing w:before="80" w:after="80"/>
        <w:jc w:val="both"/>
      </w:pPr>
      <w:r>
        <w:rPr>
          <w:rFonts w:ascii="Arial" w:cs="Arial" w:eastAsia="Arial" w:hAnsi="Arial"/>
          <w:color w:val="2C3E50"/>
          <w:sz w:val="20"/>
          <w:szCs w:val="20"/>
        </w:rPr>
        <w:t xml:space="preserve">The card is the physical or virtual payment instrument linked to an account. Multiple cards can exist under one account, each with a unique PAN (Primary Account Number) but sharing the same financial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Card Type</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Primary Card</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Main cardholder's card, first card issued on the account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Supplementary Card</w:t>
            </w:r>
          </w:p>
        </w:tc>
        <w:tc>
          <w:tcPr>
            <w:tcW w:type="dxa" w:w="6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Additional cards for authorized users, shares account credit limit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Replacement Card</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Reissued card (lost/stolen/expired) with new PAN, same account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Virtual Card</w:t>
            </w:r>
          </w:p>
        </w:tc>
        <w:tc>
          <w:tcPr>
            <w:tcW w:type="dxa" w:w="6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No physical plastic, used for e-commerce and digital wallet tokenization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Tokenized Card</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 wallet representation (Apple Pay, Samsung Pay, Google Pay)</w:t>
            </w:r>
          </w:p>
        </w:tc>
      </w:tr>
    </w:tbl>
    <w:p>
      <w:pPr>
        <w:spacing w:before="80" w:after="80"/>
      </w:pPr>
    </w:p>
    <w:p>
      <w:pPr>
        <w:pStyle w:val="Heading2"/>
        <w:spacing w:before="280" w:after="160"/>
      </w:pPr>
      <w:r>
        <w:rPr>
          <w:rFonts w:ascii="Arial" w:cs="Arial" w:eastAsia="Arial" w:hAnsi="Arial"/>
          <w:b/>
          <w:bCs/>
          <w:color w:val="2E86C1"/>
          <w:sz w:val="26"/>
          <w:szCs w:val="26"/>
        </w:rPr>
        <w:t xml:space="preserve">1.4 Types of Cards Supported</w:t>
      </w:r>
    </w:p>
    <w:p>
      <w:pPr>
        <w:spacing w:before="200" w:after="120"/>
      </w:pPr>
      <w:r>
        <w:rPr>
          <w:rFonts w:ascii="Arial" w:cs="Arial" w:eastAsia="Arial" w:hAnsi="Arial"/>
          <w:b/>
          <w:bCs/>
          <w:color w:val="2C3E50"/>
          <w:sz w:val="22"/>
          <w:szCs w:val="22"/>
        </w:rPr>
        <w:t xml:space="preserve">By Payment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Scheme</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Card Tiers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Visa</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Classic, Gold, Platinum, Signature, Infinite</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MasterCard</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Standard, Gold, Platinum, World, World Elite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UnionPay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Classic, Gold, Platinum, Diamond</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PayPak</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Pakistan domestic scheme (SBP initiative)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JCB / Discover</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International acceptance tiers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Private Label</w:t>
            </w:r>
          </w:p>
        </w:tc>
        <w:tc>
          <w:tcPr>
            <w:tcW w:type="dxa" w:w="6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Co-branded / retailer-specific cards</w:t>
            </w:r>
          </w:p>
        </w:tc>
      </w:tr>
    </w:tbl>
    <w:p>
      <w:pPr>
        <w:spacing w:before="80" w:after="80"/>
      </w:pPr>
    </w:p>
    <w:p>
      <w:pPr>
        <w:spacing w:before="200" w:after="120"/>
      </w:pPr>
      <w:r>
        <w:rPr>
          <w:rFonts w:ascii="Arial" w:cs="Arial" w:eastAsia="Arial" w:hAnsi="Arial"/>
          <w:b/>
          <w:bCs/>
          <w:color w:val="2C3E50"/>
          <w:sz w:val="22"/>
          <w:szCs w:val="22"/>
        </w:rPr>
        <w:t xml:space="preserve">By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Product Type</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Revenue Model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Credit Cards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Revolving credit with billing cycles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Interest income + fees + interchange</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Debit Cards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Linked to savings/current account</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Interchange + FX markup + fees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Prepaid Cards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Stored value (gift, travel, payroll)</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Load fees + FX markup + inactivity fees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Charge Cards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Full payment each cycle, no revolving</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Annual fee + interchange + merchant fees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Corporate Cards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Purchasing, T&amp;E, fleet cards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Corporate annual fees + interchange + rebates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Co-branded Cards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Joint branding with partners</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Shared interchange + partner revenue share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Islamic Cards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Shariah-compliant pricing</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Murabaha/Tawarruq/Ijarah-based profit instead of interest</w:t>
            </w:r>
          </w:p>
        </w:tc>
      </w:tr>
    </w:tbl>
    <w:p>
      <w:pPr>
        <w:spacing w:before="80" w:after="80"/>
      </w:pPr>
    </w:p>
    <w:p>
      <w:pPr>
        <w:spacing w:before="200" w:after="120"/>
      </w:pPr>
      <w:r>
        <w:rPr>
          <w:rFonts w:ascii="Arial" w:cs="Arial" w:eastAsia="Arial" w:hAnsi="Arial"/>
          <w:b/>
          <w:bCs/>
          <w:color w:val="2C3E50"/>
          <w:sz w:val="22"/>
          <w:szCs w:val="22"/>
        </w:rPr>
        <w:t xml:space="preserve">By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Technology</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Security Level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Magnetic Stripe</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Legacy stripe-based cards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Basic - CVV on track data</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EMV Chip (Contact)</w:t>
            </w:r>
          </w:p>
        </w:tc>
        <w:tc>
          <w:tcPr>
            <w:tcW w:type="dxa" w:w="3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Chip-based contact cards</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High - dynamic cryptogram per transaction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EMV Contactless (NFC)</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Tap-to-pay capable cards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High - tokenized with contactless limits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Dual Interface</w:t>
            </w:r>
          </w:p>
        </w:tc>
        <w:tc>
          <w:tcPr>
            <w:tcW w:type="dxa" w:w="3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Chip + Contactless combined</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High - supports both contact and tap modes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Virtual Card</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Digital-only, no physical plastic</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High - single-use or limited-use numbers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Tokenized</w:t>
            </w:r>
          </w:p>
        </w:tc>
        <w:tc>
          <w:tcPr>
            <w:tcW w:type="dxa" w:w="3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Wallet representations</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Highest - device-specific tokens with biometric</w:t>
            </w:r>
          </w:p>
        </w:tc>
      </w:tr>
    </w:tbl>
    <w:p>
      <w:pPr>
        <w:spacing w:before="80" w:after="80"/>
      </w:pPr>
    </w:p>
    <w:p>
      <w:pPr>
        <w:pStyle w:val="Heading2"/>
        <w:spacing w:before="280" w:after="160"/>
      </w:pPr>
      <w:r>
        <w:rPr>
          <w:rFonts w:ascii="Arial" w:cs="Arial" w:eastAsia="Arial" w:hAnsi="Arial"/>
          <w:b/>
          <w:bCs/>
          <w:color w:val="2E86C1"/>
          <w:sz w:val="26"/>
          <w:szCs w:val="26"/>
        </w:rPr>
        <w:t xml:space="preserve">1.5 Transaction Authorization Flow</w:t>
      </w:r>
    </w:p>
    <w:p>
      <w:pPr>
        <w:spacing w:before="80" w:after="80"/>
        <w:jc w:val="both"/>
      </w:pPr>
      <w:r>
        <w:rPr>
          <w:rFonts w:ascii="Arial" w:cs="Arial" w:eastAsia="Arial" w:hAnsi="Arial"/>
          <w:color w:val="2C3E50"/>
          <w:sz w:val="20"/>
          <w:szCs w:val="20"/>
        </w:rPr>
        <w:t xml:space="preserve">The end-to-end transaction flow in CTL/PRIME from cardholder action to settlement follows a well-defined path through multiple system components:</w:t>
      </w:r>
    </w:p>
    <w:p>
      <w:pPr>
        <w:shd w:fill="F2F4F4" w:val="clear"/>
        <w:spacing w:before="40" w:after="40"/>
        <w:ind w:left="360"/>
      </w:pPr>
      <w:r>
        <w:rPr>
          <w:rFonts w:ascii="Courier New" w:cs="Courier New" w:eastAsia="Courier New" w:hAnsi="Courier New"/>
          <w:color w:val="2C3E50"/>
          <w:sz w:val="18"/>
          <w:szCs w:val="18"/>
        </w:rPr>
        <w:t xml:space="preserve">Cardholder swipes/taps/enters card details</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POS Terminal / ATM / E-commerce Gateway</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Acquirer Switch (ISO 8583 message format)</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Card Scheme Network (Visa/MasterCard/PayPak)</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PRIME ONLINE (Authorization Engine)</w:t>
      </w:r>
    </w:p>
    <w:p>
      <w:pPr>
        <w:shd w:fill="F2F4F4" w:val="clear"/>
        <w:spacing w:before="40" w:after="40"/>
        <w:ind w:left="360"/>
      </w:pPr>
      <w:r>
        <w:rPr>
          <w:rFonts w:ascii="Courier New" w:cs="Courier New" w:eastAsia="Courier New" w:hAnsi="Courier New"/>
          <w:color w:val="2C3E50"/>
          <w:sz w:val="18"/>
          <w:szCs w:val="18"/>
        </w:rPr>
        <w:t xml:space="preserve">    -&gt; Validates card status (active, blocked, expired?)</w:t>
      </w:r>
    </w:p>
    <w:p>
      <w:pPr>
        <w:shd w:fill="F2F4F4" w:val="clear"/>
        <w:spacing w:before="40" w:after="40"/>
        <w:ind w:left="360"/>
      </w:pPr>
      <w:r>
        <w:rPr>
          <w:rFonts w:ascii="Courier New" w:cs="Courier New" w:eastAsia="Courier New" w:hAnsi="Courier New"/>
          <w:color w:val="2C3E50"/>
          <w:sz w:val="18"/>
          <w:szCs w:val="18"/>
        </w:rPr>
        <w:t xml:space="preserve">    -&gt; Checks account: credit limit, available balance</w:t>
      </w:r>
    </w:p>
    <w:p>
      <w:pPr>
        <w:shd w:fill="F2F4F4" w:val="clear"/>
        <w:spacing w:before="40" w:after="40"/>
        <w:ind w:left="360"/>
      </w:pPr>
      <w:r>
        <w:rPr>
          <w:rFonts w:ascii="Courier New" w:cs="Courier New" w:eastAsia="Courier New" w:hAnsi="Courier New"/>
          <w:color w:val="2C3E50"/>
          <w:sz w:val="18"/>
          <w:szCs w:val="18"/>
        </w:rPr>
        <w:t xml:space="preserve">    -&gt; FRAUDGUARD: real-time fraud scoring</w:t>
      </w:r>
    </w:p>
    <w:p>
      <w:pPr>
        <w:shd w:fill="F2F4F4" w:val="clear"/>
        <w:spacing w:before="40" w:after="40"/>
        <w:ind w:left="360"/>
      </w:pPr>
      <w:r>
        <w:rPr>
          <w:rFonts w:ascii="Courier New" w:cs="Courier New" w:eastAsia="Courier New" w:hAnsi="Courier New"/>
          <w:color w:val="2C3E50"/>
          <w:sz w:val="18"/>
          <w:szCs w:val="18"/>
        </w:rPr>
        <w:t xml:space="preserve">    -&gt; Applies auth rules (MCC, country, time, velocity)</w:t>
      </w:r>
    </w:p>
    <w:p>
      <w:pPr>
        <w:shd w:fill="F2F4F4" w:val="clear"/>
        <w:spacing w:before="40" w:after="40"/>
        <w:ind w:left="360"/>
      </w:pPr>
      <w:r>
        <w:rPr>
          <w:rFonts w:ascii="Courier New" w:cs="Courier New" w:eastAsia="Courier New" w:hAnsi="Courier New"/>
          <w:color w:val="2C3E50"/>
          <w:sz w:val="18"/>
          <w:szCs w:val="18"/>
        </w:rPr>
        <w:t xml:space="preserve">    -&gt; Returns approve/decline response</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Transaction logged in PRIME database</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End-of-day batch processing:</w:t>
      </w:r>
    </w:p>
    <w:p>
      <w:pPr>
        <w:shd w:fill="F2F4F4" w:val="clear"/>
        <w:spacing w:before="40" w:after="40"/>
        <w:ind w:left="360"/>
      </w:pPr>
      <w:r>
        <w:rPr>
          <w:rFonts w:ascii="Courier New" w:cs="Courier New" w:eastAsia="Courier New" w:hAnsi="Courier New"/>
          <w:color w:val="2C3E50"/>
          <w:sz w:val="18"/>
          <w:szCs w:val="18"/>
        </w:rPr>
        <w:t xml:space="preserve">    -&gt; Post transactions to account</w:t>
      </w:r>
    </w:p>
    <w:p>
      <w:pPr>
        <w:shd w:fill="F2F4F4" w:val="clear"/>
        <w:spacing w:before="40" w:after="40"/>
        <w:ind w:left="360"/>
      </w:pPr>
      <w:r>
        <w:rPr>
          <w:rFonts w:ascii="Courier New" w:cs="Courier New" w:eastAsia="Courier New" w:hAnsi="Courier New"/>
          <w:color w:val="2C3E50"/>
          <w:sz w:val="18"/>
          <w:szCs w:val="18"/>
        </w:rPr>
        <w:t xml:space="preserve">    -&gt; Calculate interest/profit accrual</w:t>
      </w:r>
    </w:p>
    <w:p>
      <w:pPr>
        <w:shd w:fill="F2F4F4" w:val="clear"/>
        <w:spacing w:before="40" w:after="40"/>
        <w:ind w:left="360"/>
      </w:pPr>
      <w:r>
        <w:rPr>
          <w:rFonts w:ascii="Courier New" w:cs="Courier New" w:eastAsia="Courier New" w:hAnsi="Courier New"/>
          <w:color w:val="2C3E50"/>
          <w:sz w:val="18"/>
          <w:szCs w:val="18"/>
        </w:rPr>
        <w:t xml:space="preserve">    -&gt; Generate statements (at cycle cut)</w:t>
      </w:r>
    </w:p>
    <w:p>
      <w:pPr>
        <w:shd w:fill="F2F4F4" w:val="clear"/>
        <w:spacing w:before="40" w:after="40"/>
        <w:ind w:left="360"/>
      </w:pPr>
      <w:r>
        <w:rPr>
          <w:rFonts w:ascii="Courier New" w:cs="Courier New" w:eastAsia="Courier New" w:hAnsi="Courier New"/>
          <w:color w:val="2C3E50"/>
          <w:sz w:val="18"/>
          <w:szCs w:val="18"/>
        </w:rPr>
        <w:t xml:space="preserve">    -&gt; Update aging buckets</w:t>
      </w:r>
    </w:p>
    <w:p>
      <w:pPr>
        <w:shd w:fill="F2F4F4" w:val="clear"/>
        <w:spacing w:before="40" w:after="40"/>
        <w:ind w:left="360"/>
      </w:pPr>
      <w:r>
        <w:rPr>
          <w:rFonts w:ascii="Courier New" w:cs="Courier New" w:eastAsia="Courier New" w:hAnsi="Courier New"/>
          <w:color w:val="2C3E50"/>
          <w:sz w:val="18"/>
          <w:szCs w:val="18"/>
        </w:rPr>
        <w:t xml:space="preserve">    -&gt; Settlement files to scheme networks</w:t>
      </w:r>
    </w:p>
    <w:p>
      <w:pPr>
        <w:shd w:fill="F2F4F4" w:val="clear"/>
        <w:spacing w:before="40" w:after="40"/>
        <w:ind w:left="360"/>
      </w:pPr>
      <w:r>
        <w:rPr>
          <w:rFonts w:ascii="Courier New" w:cs="Courier New" w:eastAsia="Courier New" w:hAnsi="Courier New"/>
          <w:color w:val="2C3E50"/>
          <w:sz w:val="18"/>
          <w:szCs w:val="18"/>
        </w:rPr>
        <w:t xml:space="preserve">    -&gt; GL postings to core banking</w:t>
      </w:r>
    </w:p>
    <w:p>
      <w:pPr>
        <w:shd w:fill="F2F4F4" w:val="clear"/>
        <w:spacing w:before="40" w:after="40"/>
        <w:ind w:left="360"/>
      </w:pPr>
      <w:r>
        <w:rPr>
          <w:rFonts w:ascii="Courier New" w:cs="Courier New" w:eastAsia="Courier New" w:hAnsi="Courier New"/>
          <w:color w:val="2C3E50"/>
          <w:sz w:val="18"/>
          <w:szCs w:val="18"/>
        </w:rPr>
        <w:t xml:space="preserve">    -&gt; Data extracts to Teradata DWH</w:t>
      </w:r>
    </w:p>
    <w:p>
      <w:pPr>
        <w:spacing w:before="80" w:after="80"/>
      </w:pPr>
    </w:p>
    <w:p>
      <w:pPr>
        <w:pStyle w:val="Heading2"/>
        <w:spacing w:before="280" w:after="160"/>
      </w:pPr>
      <w:r>
        <w:rPr>
          <w:rFonts w:ascii="Arial" w:cs="Arial" w:eastAsia="Arial" w:hAnsi="Arial"/>
          <w:b/>
          <w:bCs/>
          <w:color w:val="2E86C1"/>
          <w:sz w:val="26"/>
          <w:szCs w:val="26"/>
        </w:rPr>
        <w:t xml:space="preserve">1.6 Silkbank Card Portfolio Integration</w:t>
      </w:r>
    </w:p>
    <w:p>
      <w:pPr>
        <w:spacing w:before="80" w:after="80"/>
        <w:jc w:val="both"/>
      </w:pPr>
      <w:r>
        <w:rPr>
          <w:rFonts w:ascii="Arial" w:cs="Arial" w:eastAsia="Arial" w:hAnsi="Arial"/>
          <w:color w:val="2C3E50"/>
          <w:sz w:val="20"/>
          <w:szCs w:val="20"/>
        </w:rPr>
        <w:t xml:space="preserve">With the Silkbank merger effective March 11, 2025, UBL faces a major card portfolio migration challenge. Silkbank was known for its outsized role in consumer lending, particularly credit cards. The integration requires:</w:t>
      </w:r>
    </w:p>
    <w:p>
      <w:pPr>
        <w:spacing w:before="60" w:after="60"/>
      </w:pPr>
      <w:r>
        <w:rPr>
          <w:rFonts w:ascii="Arial" w:cs="Arial" w:eastAsia="Arial" w:hAnsi="Arial"/>
          <w:b/>
          <w:bCs/>
          <w:color w:val="2C3E50"/>
          <w:sz w:val="20"/>
          <w:szCs w:val="20"/>
        </w:rPr>
        <w:t xml:space="preserve">Card Portfolio Conversion:</w:t>
      </w:r>
      <w:r>
        <w:rPr>
          <w:rFonts w:ascii="Arial" w:cs="Arial" w:eastAsia="Arial" w:hAnsi="Arial"/>
          <w:color w:val="2C3E50"/>
          <w:sz w:val="20"/>
          <w:szCs w:val="20"/>
        </w:rPr>
        <w:t xml:space="preserve"> All Silkbank credit and debit card accounts must be migrated into UBL's CTL/TSYS PRIME system. This involves mapping Silkbank's card product definitions, rate plans, fee structures, and billing cycles to UBL's existing PRIME configuration.</w:t>
      </w:r>
    </w:p>
    <w:p>
      <w:pPr>
        <w:spacing w:before="60" w:after="60"/>
      </w:pPr>
      <w:r>
        <w:rPr>
          <w:rFonts w:ascii="Arial" w:cs="Arial" w:eastAsia="Arial" w:hAnsi="Arial"/>
          <w:b/>
          <w:bCs/>
          <w:color w:val="2C3E50"/>
          <w:sz w:val="20"/>
          <w:szCs w:val="20"/>
        </w:rPr>
        <w:t xml:space="preserve">Physical Card Replacement:</w:t>
      </w:r>
      <w:r>
        <w:rPr>
          <w:rFonts w:ascii="Arial" w:cs="Arial" w:eastAsia="Arial" w:hAnsi="Arial"/>
          <w:color w:val="2C3E50"/>
          <w:sz w:val="20"/>
          <w:szCs w:val="20"/>
        </w:rPr>
        <w:t xml:space="preserve"> Silkbank debit cards will cease to be operational after December 7, 2025. New UBL-branded debit cards are being issued to all former Silkbank customers. Credit card migration follows a separate timeline.</w:t>
      </w:r>
    </w:p>
    <w:p>
      <w:pPr>
        <w:spacing w:before="60" w:after="60"/>
      </w:pPr>
      <w:r>
        <w:rPr>
          <w:rFonts w:ascii="Arial" w:cs="Arial" w:eastAsia="Arial" w:hAnsi="Arial"/>
          <w:b/>
          <w:bCs/>
          <w:color w:val="2C3E50"/>
          <w:sz w:val="20"/>
          <w:szCs w:val="20"/>
        </w:rPr>
        <w:t xml:space="preserve">Customer Data Migration:</w:t>
      </w:r>
      <w:r>
        <w:rPr>
          <w:rFonts w:ascii="Arial" w:cs="Arial" w:eastAsia="Arial" w:hAnsi="Arial"/>
          <w:color w:val="2C3E50"/>
          <w:sz w:val="20"/>
          <w:szCs w:val="20"/>
        </w:rPr>
        <w:t xml:space="preserve"> Silkbank customer records (CIF) must be merged/de-duplicated with UBL's customer master. Customers who hold accounts at both banks need consolidation into a single customer view.</w:t>
      </w:r>
    </w:p>
    <w:p>
      <w:pPr>
        <w:spacing w:before="60" w:after="60"/>
      </w:pPr>
      <w:r>
        <w:rPr>
          <w:rFonts w:ascii="Arial" w:cs="Arial" w:eastAsia="Arial" w:hAnsi="Arial"/>
          <w:b/>
          <w:bCs/>
          <w:color w:val="2C3E50"/>
          <w:sz w:val="20"/>
          <w:szCs w:val="20"/>
        </w:rPr>
        <w:t xml:space="preserve">Balance &amp; Transaction History:</w:t>
      </w:r>
      <w:r>
        <w:rPr>
          <w:rFonts w:ascii="Arial" w:cs="Arial" w:eastAsia="Arial" w:hAnsi="Arial"/>
          <w:color w:val="2C3E50"/>
          <w:sz w:val="20"/>
          <w:szCs w:val="20"/>
        </w:rPr>
        <w:t xml:space="preserve"> Historical transaction data, outstanding balances, aging status, and dispute records from Silkbank's card system must be migrated to maintain continuity for regulatory reporting, collections, and customer service.</w:t>
      </w:r>
    </w:p>
    <w:p>
      <w:pPr>
        <w:spacing w:before="60" w:after="60"/>
      </w:pPr>
      <w:r>
        <w:rPr>
          <w:rFonts w:ascii="Arial" w:cs="Arial" w:eastAsia="Arial" w:hAnsi="Arial"/>
          <w:b/>
          <w:bCs/>
          <w:color w:val="2C3E50"/>
          <w:sz w:val="20"/>
          <w:szCs w:val="20"/>
        </w:rPr>
        <w:t xml:space="preserve">Merchant Acquiring:</w:t>
      </w:r>
      <w:r>
        <w:rPr>
          <w:rFonts w:ascii="Arial" w:cs="Arial" w:eastAsia="Arial" w:hAnsi="Arial"/>
          <w:color w:val="2C3E50"/>
          <w:sz w:val="20"/>
          <w:szCs w:val="20"/>
        </w:rPr>
        <w:t xml:space="preserve"> Any merchant relationships managed by Silkbank's acquiring platform need to be consolidated into UBL's acquiring infrastructure.</w:t>
      </w:r>
    </w:p>
    <w:p>
      <w:pPr>
        <w:spacing w:before="60" w:after="60"/>
      </w:pPr>
      <w:r>
        <w:rPr>
          <w:rFonts w:ascii="Arial" w:cs="Arial" w:eastAsia="Arial" w:hAnsi="Arial"/>
          <w:b/>
          <w:bCs/>
          <w:color w:val="2C3E50"/>
          <w:sz w:val="20"/>
          <w:szCs w:val="20"/>
        </w:rPr>
        <w:t xml:space="preserve">Profitability Impact:</w:t>
      </w:r>
      <w:r>
        <w:rPr>
          <w:rFonts w:ascii="Arial" w:cs="Arial" w:eastAsia="Arial" w:hAnsi="Arial"/>
          <w:color w:val="2C3E50"/>
          <w:sz w:val="20"/>
          <w:szCs w:val="20"/>
        </w:rPr>
        <w:t xml:space="preserve"> The merged Silkbank card portfolio enters UBL's profitability engine as new accounts/customers. Product rationalization (eliminating duplicate card products) and branch network consolidation (overlapping branches) create both synergy opportunities and one-time integration costs that must be tracked.</w:t>
      </w:r>
    </w:p>
    <w:p>
      <w:pPr>
        <w:spacing w:before="80" w:after="80"/>
      </w:pPr>
    </w:p>
    <w:p>
      <w:pPr>
        <w:pStyle w:val="Heading2"/>
        <w:spacing w:before="280" w:after="160"/>
      </w:pPr>
      <w:r>
        <w:rPr>
          <w:rFonts w:ascii="Arial" w:cs="Arial" w:eastAsia="Arial" w:hAnsi="Arial"/>
          <w:b/>
          <w:bCs/>
          <w:color w:val="2E86C1"/>
          <w:sz w:val="26"/>
          <w:szCs w:val="26"/>
        </w:rPr>
        <w:t xml:space="preserve">1.7 Integration with Core Banking (UBL Context)</w:t>
      </w:r>
    </w:p>
    <w:p>
      <w:pPr>
        <w:spacing w:before="80" w:after="80"/>
        <w:jc w:val="both"/>
      </w:pPr>
      <w:r>
        <w:rPr>
          <w:rFonts w:ascii="Arial" w:cs="Arial" w:eastAsia="Arial" w:hAnsi="Arial"/>
          <w:color w:val="2C3E50"/>
          <w:sz w:val="20"/>
          <w:szCs w:val="20"/>
        </w:rPr>
        <w:t xml:space="preserve">CTL/PRIME integrates with UBL's core banking system through multiple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Interface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GL Interface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Batch (daily)</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Posts card receivables, income, provisions, scheme settlements to core banking GL</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CIF Sync</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Batch + Real-time</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Customer master data synchronization between core banking and CTL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Debit Card Interface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Real-time</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Balance check against demand deposit accounts for debit card authorizations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Payment Interface</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Batch</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Auto-debit from customer savings/current account for card payment dues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DWH Feed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Batch (daily)</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Transaction, account, balance, and GL data extracts to Teradata FSDM</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RAAST Integration</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Real-time</w:t>
            </w:r>
          </w:p>
        </w:tc>
        <w:tc>
          <w:tcPr>
            <w:tcW w:type="dxa" w:w="5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Instant payment routing for person-to-person and merchant payments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Temenos Infinity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API-based</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 channel integration for card management via mobile/web banking</w:t>
            </w:r>
          </w:p>
        </w:tc>
      </w:tr>
    </w:tbl>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2. Balance Types, Cycle Cut &amp; Due/Not-Due Mechanics</w:t>
      </w:r>
    </w:p>
    <w:p>
      <w:pPr>
        <w:pStyle w:val="Heading2"/>
        <w:spacing w:before="280" w:after="160"/>
      </w:pPr>
      <w:r>
        <w:rPr>
          <w:rFonts w:ascii="Arial" w:cs="Arial" w:eastAsia="Arial" w:hAnsi="Arial"/>
          <w:b/>
          <w:bCs/>
          <w:color w:val="2E86C1"/>
          <w:sz w:val="26"/>
          <w:szCs w:val="26"/>
        </w:rPr>
        <w:t xml:space="preserve">2.1 The Billing Cycle Challenge</w:t>
      </w:r>
    </w:p>
    <w:p>
      <w:pPr>
        <w:spacing w:before="80" w:after="80"/>
        <w:jc w:val="both"/>
      </w:pPr>
      <w:r>
        <w:rPr>
          <w:rFonts w:ascii="Arial" w:cs="Arial" w:eastAsia="Arial" w:hAnsi="Arial"/>
          <w:color w:val="2C3E50"/>
          <w:sz w:val="20"/>
          <w:szCs w:val="20"/>
        </w:rPr>
        <w:t xml:space="preserve">CTL/PRIME does not process all cards on the same date. Cards are assigned to billing cycles (typically 20-25 cycle groups spread across the month). On any given calendar day, some accounts just had their cycle cut (fresh statement, balances become 'due'), some are mid-cycle (balances are 'not yet due', still accruing), and some are about to cut the next day. This creates a fundamental challenge for profitability calculation: on any snapshot date, every account is at a different point in its billing lifecycle.</w:t>
      </w:r>
    </w:p>
    <w:p>
      <w:pPr>
        <w:pStyle w:val="Heading2"/>
        <w:spacing w:before="280" w:after="160"/>
      </w:pPr>
      <w:r>
        <w:rPr>
          <w:rFonts w:ascii="Arial" w:cs="Arial" w:eastAsia="Arial" w:hAnsi="Arial"/>
          <w:b/>
          <w:bCs/>
          <w:color w:val="2E86C1"/>
          <w:sz w:val="26"/>
          <w:szCs w:val="26"/>
        </w:rPr>
        <w:t xml:space="preserve">2.2 Due vs. Not-Due - What CTL Tracks</w:t>
      </w:r>
    </w:p>
    <w:p>
      <w:pPr>
        <w:spacing w:before="200" w:after="120"/>
      </w:pPr>
      <w:r>
        <w:rPr>
          <w:rFonts w:ascii="Arial" w:cs="Arial" w:eastAsia="Arial" w:hAnsi="Arial"/>
          <w:b/>
          <w:bCs/>
          <w:color w:val="2C3E50"/>
          <w:sz w:val="22"/>
          <w:szCs w:val="22"/>
        </w:rPr>
        <w:t xml:space="preserve">Pre-Cycle Cut (Accruing / Not Due)</w:t>
      </w:r>
    </w:p>
    <w:p>
      <w:pPr>
        <w:spacing w:before="60" w:after="60"/>
      </w:pPr>
      <w:r>
        <w:rPr>
          <w:rFonts w:ascii="Arial" w:cs="Arial" w:eastAsia="Arial" w:hAnsi="Arial"/>
          <w:b/>
          <w:bCs/>
          <w:color w:val="2C3E50"/>
          <w:sz w:val="20"/>
          <w:szCs w:val="20"/>
        </w:rPr>
        <w:t xml:space="preserve">Unbilled Transactions:</w:t>
      </w:r>
      <w:r>
        <w:rPr>
          <w:rFonts w:ascii="Arial" w:cs="Arial" w:eastAsia="Arial" w:hAnsi="Arial"/>
          <w:color w:val="2C3E50"/>
          <w:sz w:val="20"/>
          <w:szCs w:val="20"/>
        </w:rPr>
        <w:t xml:space="preserve"> Purchases, cash advances posted to the account but not yet included in a statement.</w:t>
      </w:r>
    </w:p>
    <w:p>
      <w:pPr>
        <w:spacing w:before="60" w:after="60"/>
      </w:pPr>
      <w:r>
        <w:rPr>
          <w:rFonts w:ascii="Arial" w:cs="Arial" w:eastAsia="Arial" w:hAnsi="Arial"/>
          <w:b/>
          <w:bCs/>
          <w:color w:val="2C3E50"/>
          <w:sz w:val="20"/>
          <w:szCs w:val="20"/>
        </w:rPr>
        <w:t xml:space="preserve">Accrued Interest/Profit:</w:t>
      </w:r>
      <w:r>
        <w:rPr>
          <w:rFonts w:ascii="Arial" w:cs="Arial" w:eastAsia="Arial" w:hAnsi="Arial"/>
          <w:color w:val="2C3E50"/>
          <w:sz w:val="20"/>
          <w:szCs w:val="20"/>
        </w:rPr>
        <w:t xml:space="preserve"> Calculated daily based on balance and rate, but not yet crystallized into a statement charge.</w:t>
      </w:r>
    </w:p>
    <w:p>
      <w:pPr>
        <w:spacing w:before="60" w:after="60"/>
      </w:pPr>
      <w:r>
        <w:rPr>
          <w:rFonts w:ascii="Arial" w:cs="Arial" w:eastAsia="Arial" w:hAnsi="Arial"/>
          <w:b/>
          <w:bCs/>
          <w:color w:val="2C3E50"/>
          <w:sz w:val="20"/>
          <w:szCs w:val="20"/>
        </w:rPr>
        <w:t xml:space="preserve">Accrued Fees:</w:t>
      </w:r>
      <w:r>
        <w:rPr>
          <w:rFonts w:ascii="Arial" w:cs="Arial" w:eastAsia="Arial" w:hAnsi="Arial"/>
          <w:color w:val="2C3E50"/>
          <w:sz w:val="20"/>
          <w:szCs w:val="20"/>
        </w:rPr>
        <w:t xml:space="preserve"> Pending fees that will be posted at next cycle cut (e.g., annual fee due this cycle).</w:t>
      </w:r>
    </w:p>
    <w:p>
      <w:pPr>
        <w:spacing w:before="80" w:after="80"/>
      </w:pPr>
    </w:p>
    <w:p>
      <w:pPr>
        <w:spacing w:before="200" w:after="120"/>
      </w:pPr>
      <w:r>
        <w:rPr>
          <w:rFonts w:ascii="Arial" w:cs="Arial" w:eastAsia="Arial" w:hAnsi="Arial"/>
          <w:b/>
          <w:bCs/>
          <w:color w:val="2C3E50"/>
          <w:sz w:val="22"/>
          <w:szCs w:val="22"/>
        </w:rPr>
        <w:t xml:space="preserve">At Cycle Cut (Becomes Due)</w:t>
      </w:r>
    </w:p>
    <w:p>
      <w:pPr>
        <w:spacing w:before="60" w:after="60"/>
      </w:pPr>
      <w:r>
        <w:rPr>
          <w:rFonts w:ascii="Arial" w:cs="Arial" w:eastAsia="Arial" w:hAnsi="Arial"/>
          <w:b/>
          <w:bCs/>
          <w:color w:val="2C3E50"/>
          <w:sz w:val="20"/>
          <w:szCs w:val="20"/>
        </w:rPr>
        <w:t xml:space="preserve">Billed Balance:</w:t>
      </w:r>
      <w:r>
        <w:rPr>
          <w:rFonts w:ascii="Arial" w:cs="Arial" w:eastAsia="Arial" w:hAnsi="Arial"/>
          <w:color w:val="2C3E50"/>
          <w:sz w:val="20"/>
          <w:szCs w:val="20"/>
        </w:rPr>
        <w:t xml:space="preserve"> All unbilled transactions roll into the billed balance on the statement.</w:t>
      </w:r>
    </w:p>
    <w:p>
      <w:pPr>
        <w:spacing w:before="60" w:after="60"/>
      </w:pPr>
      <w:r>
        <w:rPr>
          <w:rFonts w:ascii="Arial" w:cs="Arial" w:eastAsia="Arial" w:hAnsi="Arial"/>
          <w:b/>
          <w:bCs/>
          <w:color w:val="2C3E50"/>
          <w:sz w:val="20"/>
          <w:szCs w:val="20"/>
        </w:rPr>
        <w:t xml:space="preserve">Billed Interest:</w:t>
      </w:r>
      <w:r>
        <w:rPr>
          <w:rFonts w:ascii="Arial" w:cs="Arial" w:eastAsia="Arial" w:hAnsi="Arial"/>
          <w:color w:val="2C3E50"/>
          <w:sz w:val="20"/>
          <w:szCs w:val="20"/>
        </w:rPr>
        <w:t xml:space="preserve"> Accrued interest/profit crystallizes into a posted charge.</w:t>
      </w:r>
    </w:p>
    <w:p>
      <w:pPr>
        <w:spacing w:before="60" w:after="60"/>
      </w:pPr>
      <w:r>
        <w:rPr>
          <w:rFonts w:ascii="Arial" w:cs="Arial" w:eastAsia="Arial" w:hAnsi="Arial"/>
          <w:b/>
          <w:bCs/>
          <w:color w:val="2C3E50"/>
          <w:sz w:val="20"/>
          <w:szCs w:val="20"/>
        </w:rPr>
        <w:t xml:space="preserve">Fee Posting:</w:t>
      </w:r>
      <w:r>
        <w:rPr>
          <w:rFonts w:ascii="Arial" w:cs="Arial" w:eastAsia="Arial" w:hAnsi="Arial"/>
          <w:color w:val="2C3E50"/>
          <w:sz w:val="20"/>
          <w:szCs w:val="20"/>
        </w:rPr>
        <w:t xml:space="preserve"> Annual fee, late fee, over-limit fee - all posted at cycle cut.</w:t>
      </w:r>
    </w:p>
    <w:p>
      <w:pPr>
        <w:spacing w:before="60" w:after="60"/>
      </w:pPr>
      <w:r>
        <w:rPr>
          <w:rFonts w:ascii="Arial" w:cs="Arial" w:eastAsia="Arial" w:hAnsi="Arial"/>
          <w:b/>
          <w:bCs/>
          <w:color w:val="2C3E50"/>
          <w:sz w:val="20"/>
          <w:szCs w:val="20"/>
        </w:rPr>
        <w:t xml:space="preserve">Minimum Payment:</w:t>
      </w:r>
      <w:r>
        <w:rPr>
          <w:rFonts w:ascii="Arial" w:cs="Arial" w:eastAsia="Arial" w:hAnsi="Arial"/>
          <w:color w:val="2C3E50"/>
          <w:sz w:val="20"/>
          <w:szCs w:val="20"/>
        </w:rPr>
        <w:t xml:space="preserve"> Calculated as percentage of outstanding + overdue + fees + interest.</w:t>
      </w:r>
    </w:p>
    <w:p>
      <w:pPr>
        <w:spacing w:before="60" w:after="60"/>
      </w:pPr>
      <w:r>
        <w:rPr>
          <w:rFonts w:ascii="Arial" w:cs="Arial" w:eastAsia="Arial" w:hAnsi="Arial"/>
          <w:b/>
          <w:bCs/>
          <w:color w:val="2C3E50"/>
          <w:sz w:val="20"/>
          <w:szCs w:val="20"/>
        </w:rPr>
        <w:t xml:space="preserve">Statement Generation:</w:t>
      </w:r>
      <w:r>
        <w:rPr>
          <w:rFonts w:ascii="Arial" w:cs="Arial" w:eastAsia="Arial" w:hAnsi="Arial"/>
          <w:color w:val="2C3E50"/>
          <w:sz w:val="20"/>
          <w:szCs w:val="20"/>
        </w:rPr>
        <w:t xml:space="preserve"> Statement produced and sent to customer.</w:t>
      </w:r>
    </w:p>
    <w:p>
      <w:pPr>
        <w:spacing w:before="60" w:after="60"/>
      </w:pPr>
      <w:r>
        <w:rPr>
          <w:rFonts w:ascii="Arial" w:cs="Arial" w:eastAsia="Arial" w:hAnsi="Arial"/>
          <w:b/>
          <w:bCs/>
          <w:color w:val="2C3E50"/>
          <w:sz w:val="20"/>
          <w:szCs w:val="20"/>
        </w:rPr>
        <w:t xml:space="preserve">Payment Due Date:</w:t>
      </w:r>
      <w:r>
        <w:rPr>
          <w:rFonts w:ascii="Arial" w:cs="Arial" w:eastAsia="Arial" w:hAnsi="Arial"/>
          <w:color w:val="2C3E50"/>
          <w:sz w:val="20"/>
          <w:szCs w:val="20"/>
        </w:rPr>
        <w:t xml:space="preserve"> Set as cycle cut date + grace period (typically 20-25 days).</w:t>
      </w:r>
    </w:p>
    <w:p>
      <w:pPr>
        <w:spacing w:before="80" w:after="80"/>
      </w:pPr>
    </w:p>
    <w:p>
      <w:pPr>
        <w:spacing w:before="200" w:after="120"/>
      </w:pPr>
      <w:r>
        <w:rPr>
          <w:rFonts w:ascii="Arial" w:cs="Arial" w:eastAsia="Arial" w:hAnsi="Arial"/>
          <w:b/>
          <w:bCs/>
          <w:color w:val="2C3E50"/>
          <w:sz w:val="22"/>
          <w:szCs w:val="22"/>
        </w:rPr>
        <w:t xml:space="preserve">Post Cycle Cut / Aging</w:t>
      </w:r>
    </w:p>
    <w:p>
      <w:pPr>
        <w:spacing w:before="80" w:after="80"/>
        <w:jc w:val="both"/>
      </w:pPr>
      <w:r>
        <w:rPr>
          <w:rFonts w:ascii="Arial" w:cs="Arial" w:eastAsia="Arial" w:hAnsi="Arial"/>
          <w:color w:val="2C3E50"/>
          <w:sz w:val="20"/>
          <w:szCs w:val="20"/>
        </w:rPr>
        <w:t xml:space="preserve">If the minimum payment is not received by the due date, the balance moves from 'current due' to 'past due'. Aging buckets advance progressively: Current -&gt; 30 days -&gt; 60 days -&gt; 90 days -&gt; 120 days -&gt; Write-off. Each aging bucket triggers different provisioning rates as per SBP prudential regulations and IFRS 9 Expected Credit Loss (ECL) requirements.</w:t>
      </w:r>
    </w:p>
    <w:p>
      <w:pPr>
        <w:pStyle w:val="Heading2"/>
        <w:spacing w:before="280" w:after="160"/>
      </w:pPr>
      <w:r>
        <w:rPr>
          <w:rFonts w:ascii="Arial" w:cs="Arial" w:eastAsia="Arial" w:hAnsi="Arial"/>
          <w:b/>
          <w:bCs/>
          <w:color w:val="2E86C1"/>
          <w:sz w:val="26"/>
          <w:szCs w:val="26"/>
        </w:rPr>
        <w:t xml:space="preserve">2.3 Balance Type Breakdown in CTL</w:t>
      </w:r>
    </w:p>
    <w:p>
      <w:pPr>
        <w:spacing w:before="80" w:after="80"/>
        <w:jc w:val="both"/>
      </w:pPr>
      <w:r>
        <w:rPr>
          <w:rFonts w:ascii="Arial" w:cs="Arial" w:eastAsia="Arial" w:hAnsi="Arial"/>
          <w:color w:val="2C3E50"/>
          <w:sz w:val="20"/>
          <w:szCs w:val="20"/>
        </w:rPr>
        <w:t xml:space="preserve">PRIME maintains separate balance types per account, each tracked independently with its own interest rate treatment and GL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Balance Type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Interest Treatment</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GL Behavior</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Retail Purchases (Billed)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Standard rate; grace period applies if full payment made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Asset: Card Receivable - Retail</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Retail Purchases (Unbilled)</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Accruing but not yet posted to statement</w:t>
            </w:r>
          </w:p>
        </w:tc>
        <w:tc>
          <w:tcPr>
            <w:tcW w:type="dxa" w:w="3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Contingent/Memo balance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Cash Advances (Billed)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Higher rate; NO grace period; interest from day 1</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Asset: Card Receivable - Cash Advance</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Cash Advances (Unbilled)</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Accruing from transaction date (no grace)</w:t>
            </w:r>
          </w:p>
        </w:tc>
        <w:tc>
          <w:tcPr>
            <w:tcW w:type="dxa" w:w="3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Interest accrual from day 1</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Balance Transfers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Promotional rate (often 0% for intro period)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Asset: Card Receivable - BT</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Installment Plans (EPP)</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Fixed rate over tenure; amortized</w:t>
            </w:r>
          </w:p>
        </w:tc>
        <w:tc>
          <w:tcPr>
            <w:tcW w:type="dxa" w:w="3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Asset: Card Receivable - Installment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Fees (Billed)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Non-interest bearing amount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Income: Fee Revenue</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Interest/Profit (Billed)</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Compounds if unpaid (interest on interest)</w:t>
            </w:r>
          </w:p>
        </w:tc>
        <w:tc>
          <w:tcPr>
            <w:tcW w:type="dxa" w:w="3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Income: Interest/Markup Revenue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Overlimit Amount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Penalty rate may apply on some products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Income: Penalty Fee Revenue</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Disputed Amount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Held/suspended pending resolution</w:t>
            </w:r>
          </w:p>
        </w:tc>
        <w:tc>
          <w:tcPr>
            <w:tcW w:type="dxa" w:w="3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Contingent Liability account</w:t>
            </w:r>
          </w:p>
        </w:tc>
      </w:tr>
    </w:tbl>
    <w:p>
      <w:pPr>
        <w:spacing w:before="80" w:after="80"/>
      </w:pPr>
    </w:p>
    <w:p>
      <w:pPr>
        <w:pStyle w:val="Heading2"/>
        <w:spacing w:before="280" w:after="160"/>
      </w:pPr>
      <w:r>
        <w:rPr>
          <w:rFonts w:ascii="Arial" w:cs="Arial" w:eastAsia="Arial" w:hAnsi="Arial"/>
          <w:b/>
          <w:bCs/>
          <w:color w:val="2E86C1"/>
          <w:sz w:val="26"/>
          <w:szCs w:val="26"/>
        </w:rPr>
        <w:t xml:space="preserve">2.4 Payment Allocation Hierarchy</w:t>
      </w:r>
    </w:p>
    <w:p>
      <w:pPr>
        <w:spacing w:before="80" w:after="80"/>
        <w:jc w:val="both"/>
      </w:pPr>
      <w:r>
        <w:rPr>
          <w:rFonts w:ascii="Arial" w:cs="Arial" w:eastAsia="Arial" w:hAnsi="Arial"/>
          <w:color w:val="2C3E50"/>
          <w:sz w:val="20"/>
          <w:szCs w:val="20"/>
        </w:rPr>
        <w:t xml:space="preserve">When a payment is received, PRIME allocates it across balance types according to configurable rules. The typical allocation priority (aligned with SBP and international regulatory requirements) is:</w:t>
      </w:r>
    </w:p>
    <w:p>
      <w:pPr>
        <w:shd w:fill="F2F4F4" w:val="clear"/>
        <w:spacing w:before="40" w:after="40"/>
        <w:ind w:left="360"/>
      </w:pPr>
      <w:r>
        <w:rPr>
          <w:rFonts w:ascii="Courier New" w:cs="Courier New" w:eastAsia="Courier New" w:hAnsi="Courier New"/>
          <w:color w:val="2C3E50"/>
          <w:sz w:val="18"/>
          <w:szCs w:val="18"/>
        </w:rPr>
        <w:t xml:space="preserve">Payment Allocation Order:</w:t>
      </w:r>
    </w:p>
    <w:p>
      <w:pPr>
        <w:shd w:fill="F2F4F4" w:val="clear"/>
        <w:spacing w:before="40" w:after="40"/>
        <w:ind w:left="360"/>
      </w:pPr>
      <w:r>
        <w:rPr>
          <w:rFonts w:ascii="Courier New" w:cs="Courier New" w:eastAsia="Courier New" w:hAnsi="Courier New"/>
          <w:color w:val="2C3E50"/>
          <w:sz w:val="18"/>
          <w:szCs w:val="18"/>
        </w:rPr>
        <w:t xml:space="preserve">  1. Past-due minimum payment components (oldest first)</w:t>
      </w:r>
    </w:p>
    <w:p>
      <w:pPr>
        <w:shd w:fill="F2F4F4" w:val="clear"/>
        <w:spacing w:before="40" w:after="40"/>
        <w:ind w:left="360"/>
      </w:pPr>
      <w:r>
        <w:rPr>
          <w:rFonts w:ascii="Courier New" w:cs="Courier New" w:eastAsia="Courier New" w:hAnsi="Courier New"/>
          <w:color w:val="2C3E50"/>
          <w:sz w:val="18"/>
          <w:szCs w:val="18"/>
        </w:rPr>
        <w:t xml:space="preserve">  2. Current cycle fees (annual fee, late fee, overlimit fee)</w:t>
      </w:r>
    </w:p>
    <w:p>
      <w:pPr>
        <w:shd w:fill="F2F4F4" w:val="clear"/>
        <w:spacing w:before="40" w:after="40"/>
        <w:ind w:left="360"/>
      </w:pPr>
      <w:r>
        <w:rPr>
          <w:rFonts w:ascii="Courier New" w:cs="Courier New" w:eastAsia="Courier New" w:hAnsi="Courier New"/>
          <w:color w:val="2C3E50"/>
          <w:sz w:val="18"/>
          <w:szCs w:val="18"/>
        </w:rPr>
        <w:t xml:space="preserve">  3. Current cycle interest/profit charges</w:t>
      </w:r>
    </w:p>
    <w:p>
      <w:pPr>
        <w:shd w:fill="F2F4F4" w:val="clear"/>
        <w:spacing w:before="40" w:after="40"/>
        <w:ind w:left="360"/>
      </w:pPr>
      <w:r>
        <w:rPr>
          <w:rFonts w:ascii="Courier New" w:cs="Courier New" w:eastAsia="Courier New" w:hAnsi="Courier New"/>
          <w:color w:val="2C3E50"/>
          <w:sz w:val="18"/>
          <w:szCs w:val="18"/>
        </w:rPr>
        <w:t xml:space="preserve">  4. Highest interest rate balance first (typically cash advances)</w:t>
      </w:r>
    </w:p>
    <w:p>
      <w:pPr>
        <w:shd w:fill="F2F4F4" w:val="clear"/>
        <w:spacing w:before="40" w:after="40"/>
        <w:ind w:left="360"/>
      </w:pPr>
      <w:r>
        <w:rPr>
          <w:rFonts w:ascii="Courier New" w:cs="Courier New" w:eastAsia="Courier New" w:hAnsi="Courier New"/>
          <w:color w:val="2C3E50"/>
          <w:sz w:val="18"/>
          <w:szCs w:val="18"/>
        </w:rPr>
        <w:t xml:space="preserve">  5. Next highest rate (retail purchases)</w:t>
      </w:r>
    </w:p>
    <w:p>
      <w:pPr>
        <w:shd w:fill="F2F4F4" w:val="clear"/>
        <w:spacing w:before="40" w:after="40"/>
        <w:ind w:left="360"/>
      </w:pPr>
      <w:r>
        <w:rPr>
          <w:rFonts w:ascii="Courier New" w:cs="Courier New" w:eastAsia="Courier New" w:hAnsi="Courier New"/>
          <w:color w:val="2C3E50"/>
          <w:sz w:val="18"/>
          <w:szCs w:val="18"/>
        </w:rPr>
        <w:t xml:space="preserve">  6. Lowest rate balances (promotional BT, 0% installments)</w:t>
      </w:r>
    </w:p>
    <w:p>
      <w:pPr>
        <w:shd w:fill="F2F4F4" w:val="clear"/>
        <w:spacing w:before="40" w:after="40"/>
        <w:ind w:left="360"/>
      </w:pPr>
      <w:r>
        <w:rPr>
          <w:rFonts w:ascii="Courier New" w:cs="Courier New" w:eastAsia="Courier New" w:hAnsi="Courier New"/>
          <w:color w:val="2C3E50"/>
          <w:sz w:val="18"/>
          <w:szCs w:val="18"/>
        </w:rPr>
        <w:t xml:space="preserve">  7. Any remaining applied to principal reduction</w:t>
      </w:r>
    </w:p>
    <w:p>
      <w:pPr>
        <w:spacing w:before="80" w:after="80"/>
      </w:pPr>
    </w:p>
    <w:p>
      <w:pPr>
        <w:spacing w:before="80" w:after="80"/>
        <w:jc w:val="both"/>
      </w:pPr>
      <w:r>
        <w:rPr>
          <w:rFonts w:ascii="Arial" w:cs="Arial" w:eastAsia="Arial" w:hAnsi="Arial"/>
          <w:color w:val="2C3E50"/>
          <w:sz w:val="20"/>
          <w:szCs w:val="20"/>
        </w:rPr>
        <w:t xml:space="preserve">This allocation hierarchy directly impacts profitability calculations because the order in which balances are paid down determines the effective yield on the card portfolio. A portfolio where customers primarily pay down high-rate cash advances first generates less interest income than one where low-rate promotional balances are retired first.</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3. Teradata FSDM Data Warehouse Architecture</w:t>
      </w:r>
    </w:p>
    <w:p>
      <w:pPr>
        <w:pStyle w:val="Heading2"/>
        <w:spacing w:before="280" w:after="160"/>
      </w:pPr>
      <w:r>
        <w:rPr>
          <w:rFonts w:ascii="Arial" w:cs="Arial" w:eastAsia="Arial" w:hAnsi="Arial"/>
          <w:b/>
          <w:bCs/>
          <w:color w:val="2E86C1"/>
          <w:sz w:val="26"/>
          <w:szCs w:val="26"/>
        </w:rPr>
        <w:t xml:space="preserve">3.1 Hardware Evolution</w:t>
      </w:r>
    </w:p>
    <w:p>
      <w:pPr>
        <w:spacing w:before="80" w:after="80"/>
        <w:jc w:val="both"/>
      </w:pPr>
      <w:r>
        <w:rPr>
          <w:rFonts w:ascii="Arial" w:cs="Arial" w:eastAsia="Arial" w:hAnsi="Arial"/>
          <w:color w:val="2C3E50"/>
          <w:sz w:val="20"/>
          <w:szCs w:val="20"/>
        </w:rPr>
        <w:t xml:space="preserve">UBL's enterprise Data Warehouse was architected on Teradata's Financial Services Data Model (FSDM), integrating 4-5 core banking systems including CTL. The hardware platform evolved through multiple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21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Generation</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Platform</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Configuration</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Era</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Gen 1</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Teradata 680</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SMP (Symmetric Multiprocessing)</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Initial DWH deployment</w:t>
            </w:r>
          </w:p>
        </w:tc>
      </w:tr>
      <w:tr>
        <w:tc>
          <w:tcPr>
            <w:tcW w:type="dxa" w:w="1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Gen 2</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Teradata 2850</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2-Node MPP system</w:t>
            </w:r>
          </w:p>
        </w:tc>
        <w:tc>
          <w:tcPr>
            <w:tcW w:type="dxa" w:w="2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Production workload expansion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Gen 3</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Teradata IntelliFlex</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Current production platform</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Modern analytics workload</w:t>
            </w:r>
          </w:p>
        </w:tc>
      </w:tr>
    </w:tbl>
    <w:p>
      <w:pPr>
        <w:spacing w:before="80" w:after="80"/>
      </w:pPr>
    </w:p>
    <w:p>
      <w:pPr>
        <w:spacing w:before="80" w:after="80"/>
        <w:jc w:val="both"/>
      </w:pPr>
      <w:r>
        <w:rPr>
          <w:rFonts w:ascii="Arial" w:cs="Arial" w:eastAsia="Arial" w:hAnsi="Arial"/>
          <w:color w:val="2C3E50"/>
          <w:sz w:val="20"/>
          <w:szCs w:val="20"/>
        </w:rPr>
        <w:t xml:space="preserve">The IntelliFlex platform runs Teradata Vantage, combining descriptive, predictive, and prescriptive analytics with machine learning and graph analytic functions on the most powerful and scalable hardware platform for running Vantage on-premises.</w:t>
      </w:r>
    </w:p>
    <w:p>
      <w:pPr>
        <w:pStyle w:val="Heading2"/>
        <w:spacing w:before="280" w:after="160"/>
      </w:pPr>
      <w:r>
        <w:rPr>
          <w:rFonts w:ascii="Arial" w:cs="Arial" w:eastAsia="Arial" w:hAnsi="Arial"/>
          <w:b/>
          <w:bCs/>
          <w:color w:val="2E86C1"/>
          <w:sz w:val="26"/>
          <w:szCs w:val="26"/>
        </w:rPr>
        <w:t xml:space="preserve">3.2 FSDM Overview</w:t>
      </w:r>
    </w:p>
    <w:p>
      <w:pPr>
        <w:spacing w:before="80" w:after="80"/>
        <w:jc w:val="both"/>
      </w:pPr>
      <w:r>
        <w:rPr>
          <w:rFonts w:ascii="Arial" w:cs="Arial" w:eastAsia="Arial" w:hAnsi="Arial"/>
          <w:color w:val="2C3E50"/>
          <w:sz w:val="20"/>
          <w:szCs w:val="20"/>
        </w:rPr>
        <w:t xml:space="preserve">Teradata's Financial Services Data Model (FSDM) is an industry-standard logical and physical data model specifically designed for banking and financial services. It provides pre-built subject areas covering the complete banking enterprise.</w:t>
      </w:r>
    </w:p>
    <w:p>
      <w:pPr>
        <w:spacing w:before="200" w:after="120"/>
      </w:pPr>
      <w:r>
        <w:rPr>
          <w:rFonts w:ascii="Arial" w:cs="Arial" w:eastAsia="Arial" w:hAnsi="Arial"/>
          <w:b/>
          <w:bCs/>
          <w:color w:val="2C3E50"/>
          <w:sz w:val="22"/>
          <w:szCs w:val="22"/>
        </w:rPr>
        <w:t xml:space="preserve">FSDM Core Subject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Subject Area</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Key Entities</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Banking Use Case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Party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Individual, Organization, Party Role, Party Relationship</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360 view, KYC, relationship mapping</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Agreement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Account, Product, Terms, Conditions, Pricing</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All financial products - deposits, loans, cards, trade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Financial Transaction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Monetary Transaction, Non-Monetary Event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All transactions across all systems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Balance</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Account Balance, Position, Accrual</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Daily/monthly balances by type and COA</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Financial Instrument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Security, Derivative, Currency</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Treasury, investment products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Channel</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 ATM, Digital, Call Center</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Interaction tracking and cost allocation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General Ledger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COA, Journal Entry, GL Balance</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Finance reconciliation and regulatory reporting</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Risk</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Credit Risk, Market Risk, Operational Risk</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Basel, IFRS 9, provisioning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Campaign/Offer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Marketing Campaign, Response, Conversion</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Campaign ROI and customer targeting</w:t>
            </w:r>
          </w:p>
        </w:tc>
      </w:tr>
    </w:tbl>
    <w:p>
      <w:pPr>
        <w:spacing w:before="80" w:after="80"/>
      </w:pPr>
    </w:p>
    <w:p>
      <w:pPr>
        <w:pStyle w:val="Heading2"/>
        <w:spacing w:before="280" w:after="160"/>
      </w:pPr>
      <w:r>
        <w:rPr>
          <w:rFonts w:ascii="Arial" w:cs="Arial" w:eastAsia="Arial" w:hAnsi="Arial"/>
          <w:b/>
          <w:bCs/>
          <w:color w:val="2E86C1"/>
          <w:sz w:val="26"/>
          <w:szCs w:val="26"/>
        </w:rPr>
        <w:t xml:space="preserve">3.3 CTL-to-FSDM Mapping</w:t>
      </w:r>
    </w:p>
    <w:p>
      <w:pPr>
        <w:spacing w:before="80" w:after="80"/>
        <w:jc w:val="both"/>
      </w:pPr>
      <w:r>
        <w:rPr>
          <w:rFonts w:ascii="Arial" w:cs="Arial" w:eastAsia="Arial" w:hAnsi="Arial"/>
          <w:color w:val="2C3E50"/>
          <w:sz w:val="20"/>
          <w:szCs w:val="20"/>
        </w:rPr>
        <w:t xml:space="preserve">The mapping of CTL entities to FSDM subject areas forms the foundation for the profitability engine. Each CTL data extract maps to specific FSDM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CTL Entity</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FSDM Table/Subject Area</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Profitability Use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CTL Account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Agreement (AGMT_ID) with Agreement Type</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Primary financial entity for revenue/cost attribution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CTL Card</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Arrangement (under Agreement)</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Multiple cards = multiple arrangements under one agreement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CTL Customer</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Party + Party-to-Agreement Role</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dimension for profitability rollup</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Daily Account Balance</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ACCT_BAL_HIST (with COA dimension)</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Average balance calculation for FTP and revenue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Transaction Detail</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MONETARY_TXN (with MCC, channel dims)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Interchange calculation, fee attribution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Statement/Cycle Data</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AGREEMENT_EVENT</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Cycle tracking, due/not-due status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Interest/Fee Posting</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FINANCIAL_TXN (mapped to COA)</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Revenue recognition (income lines)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Aging/Delinquency</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AGREEMENT_STATUS_HIST (aging bucket)</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Provision calculation (risk cost)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GL Postings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GL_BALANCE, JOURNAL_ENTRY</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GL reconciliation for profitability integrity</w:t>
            </w:r>
          </w:p>
        </w:tc>
      </w:tr>
    </w:tbl>
    <w:p>
      <w:pPr>
        <w:spacing w:before="80" w:after="80"/>
      </w:pPr>
    </w:p>
    <w:p>
      <w:pPr>
        <w:pStyle w:val="Heading2"/>
        <w:spacing w:before="280" w:after="160"/>
      </w:pPr>
      <w:r>
        <w:rPr>
          <w:rFonts w:ascii="Arial" w:cs="Arial" w:eastAsia="Arial" w:hAnsi="Arial"/>
          <w:b/>
          <w:bCs/>
          <w:color w:val="2E86C1"/>
          <w:sz w:val="26"/>
          <w:szCs w:val="26"/>
        </w:rPr>
        <w:t xml:space="preserve">3.4 The Agreement-COA Bridge</w:t>
      </w:r>
    </w:p>
    <w:p>
      <w:pPr>
        <w:spacing w:before="80" w:after="80"/>
        <w:jc w:val="both"/>
      </w:pPr>
      <w:r>
        <w:rPr>
          <w:rFonts w:ascii="Arial" w:cs="Arial" w:eastAsia="Arial" w:hAnsi="Arial"/>
          <w:color w:val="2C3E50"/>
          <w:sz w:val="20"/>
          <w:szCs w:val="20"/>
        </w:rPr>
        <w:t xml:space="preserve">The Agreement-to-COA mapping is the critical architectural bridge that connects individual CTL accounts to General Ledger chart of accounts entries. Each CTL account (agreement) has multiple GL COA entries based on balance types. This bridge enables account-level profitability that reconciles to the bank's GL.</w:t>
      </w:r>
    </w:p>
    <w:p>
      <w:pPr>
        <w:spacing w:before="80" w:after="80"/>
      </w:pPr>
    </w:p>
    <w:p>
      <w:pPr>
        <w:shd w:fill="F2F4F4" w:val="clear"/>
        <w:spacing w:before="40" w:after="40"/>
        <w:ind w:left="360"/>
      </w:pPr>
      <w:r>
        <w:rPr>
          <w:rFonts w:ascii="Courier New" w:cs="Courier New" w:eastAsia="Courier New" w:hAnsi="Courier New"/>
          <w:color w:val="2C3E50"/>
          <w:sz w:val="18"/>
          <w:szCs w:val="18"/>
        </w:rPr>
        <w:t xml:space="preserve">One CTL Account (Agreement #12345):</w:t>
      </w:r>
    </w:p>
    <w:p>
      <w:pPr>
        <w:shd w:fill="F2F4F4" w:val="clear"/>
        <w:spacing w:before="40" w:after="40"/>
        <w:ind w:left="360"/>
      </w:pPr>
      <w:r>
        <w:rPr>
          <w:rFonts w:ascii="Courier New" w:cs="Courier New" w:eastAsia="Courier New" w:hAnsi="Courier New"/>
          <w:color w:val="2C3E50"/>
          <w:sz w:val="18"/>
          <w:szCs w:val="18"/>
        </w:rPr>
        <w:t xml:space="preserve">  |-- COA: Asset - Card Receivable (Retail Billed)     -&gt; PKR 150,000</w:t>
      </w:r>
    </w:p>
    <w:p>
      <w:pPr>
        <w:shd w:fill="F2F4F4" w:val="clear"/>
        <w:spacing w:before="40" w:after="40"/>
        <w:ind w:left="360"/>
      </w:pPr>
      <w:r>
        <w:rPr>
          <w:rFonts w:ascii="Courier New" w:cs="Courier New" w:eastAsia="Courier New" w:hAnsi="Courier New"/>
          <w:color w:val="2C3E50"/>
          <w:sz w:val="18"/>
          <w:szCs w:val="18"/>
        </w:rPr>
        <w:t xml:space="preserve">  |-- COA: Asset - Card Receivable (Cash Advance)      -&gt; PKR  30,000</w:t>
      </w:r>
    </w:p>
    <w:p>
      <w:pPr>
        <w:shd w:fill="F2F4F4" w:val="clear"/>
        <w:spacing w:before="40" w:after="40"/>
        <w:ind w:left="360"/>
      </w:pPr>
      <w:r>
        <w:rPr>
          <w:rFonts w:ascii="Courier New" w:cs="Courier New" w:eastAsia="Courier New" w:hAnsi="Courier New"/>
          <w:color w:val="2C3E50"/>
          <w:sz w:val="18"/>
          <w:szCs w:val="18"/>
        </w:rPr>
        <w:t xml:space="preserve">  |-- COA: Asset - Card Receivable (Installment)       -&gt; PKR  75,000</w:t>
      </w:r>
    </w:p>
    <w:p>
      <w:pPr>
        <w:shd w:fill="F2F4F4" w:val="clear"/>
        <w:spacing w:before="40" w:after="40"/>
        <w:ind w:left="360"/>
      </w:pPr>
      <w:r>
        <w:rPr>
          <w:rFonts w:ascii="Courier New" w:cs="Courier New" w:eastAsia="Courier New" w:hAnsi="Courier New"/>
          <w:color w:val="2C3E50"/>
          <w:sz w:val="18"/>
          <w:szCs w:val="18"/>
        </w:rPr>
        <w:t xml:space="preserve">  |-- COA: Asset - Accrued Interest Receivable          -&gt; PKR   8,500</w:t>
      </w:r>
    </w:p>
    <w:p>
      <w:pPr>
        <w:shd w:fill="F2F4F4" w:val="clear"/>
        <w:spacing w:before="40" w:after="40"/>
        <w:ind w:left="360"/>
      </w:pPr>
      <w:r>
        <w:rPr>
          <w:rFonts w:ascii="Courier New" w:cs="Courier New" w:eastAsia="Courier New" w:hAnsi="Courier New"/>
          <w:color w:val="2C3E50"/>
          <w:sz w:val="18"/>
          <w:szCs w:val="18"/>
        </w:rPr>
        <w:t xml:space="preserve">  |-- COA: Asset - Unbilled Transactions (Not Due)      -&gt; PKR  45,000</w:t>
      </w:r>
    </w:p>
    <w:p>
      <w:pPr>
        <w:shd w:fill="F2F4F4" w:val="clear"/>
        <w:spacing w:before="40" w:after="40"/>
        <w:ind w:left="360"/>
      </w:pPr>
      <w:r>
        <w:rPr>
          <w:rFonts w:ascii="Courier New" w:cs="Courier New" w:eastAsia="Courier New" w:hAnsi="Courier New"/>
          <w:color w:val="2C3E50"/>
          <w:sz w:val="18"/>
          <w:szCs w:val="18"/>
        </w:rPr>
        <w:t xml:space="preserve">  |-- COA: Income - Interest/Profit Earned              -&gt; PKR  12,000</w:t>
      </w:r>
    </w:p>
    <w:p>
      <w:pPr>
        <w:shd w:fill="F2F4F4" w:val="clear"/>
        <w:spacing w:before="40" w:after="40"/>
        <w:ind w:left="360"/>
      </w:pPr>
      <w:r>
        <w:rPr>
          <w:rFonts w:ascii="Courier New" w:cs="Courier New" w:eastAsia="Courier New" w:hAnsi="Courier New"/>
          <w:color w:val="2C3E50"/>
          <w:sz w:val="18"/>
          <w:szCs w:val="18"/>
        </w:rPr>
        <w:t xml:space="preserve">  |-- COA: Income - Fee Income                          -&gt; PKR   3,500</w:t>
      </w:r>
    </w:p>
    <w:p>
      <w:pPr>
        <w:shd w:fill="F2F4F4" w:val="clear"/>
        <w:spacing w:before="40" w:after="40"/>
        <w:ind w:left="360"/>
      </w:pPr>
      <w:r>
        <w:rPr>
          <w:rFonts w:ascii="Courier New" w:cs="Courier New" w:eastAsia="Courier New" w:hAnsi="Courier New"/>
          <w:color w:val="2C3E50"/>
          <w:sz w:val="18"/>
          <w:szCs w:val="18"/>
        </w:rPr>
        <w:t xml:space="preserve">  |-- COA: Income - Interchange Income (allocated)      -&gt; PKR   2,100</w:t>
      </w:r>
    </w:p>
    <w:p>
      <w:pPr>
        <w:shd w:fill="F2F4F4" w:val="clear"/>
        <w:spacing w:before="40" w:after="40"/>
        <w:ind w:left="360"/>
      </w:pPr>
      <w:r>
        <w:rPr>
          <w:rFonts w:ascii="Courier New" w:cs="Courier New" w:eastAsia="Courier New" w:hAnsi="Courier New"/>
          <w:color w:val="2C3E50"/>
          <w:sz w:val="18"/>
          <w:szCs w:val="18"/>
        </w:rPr>
        <w:t xml:space="preserve">  |-- COA: Expense - Provision for Doubtful (by aging)  -&gt; PKR  (4,500)</w:t>
      </w:r>
    </w:p>
    <w:p>
      <w:pPr>
        <w:shd w:fill="F2F4F4" w:val="clear"/>
        <w:spacing w:before="40" w:after="40"/>
        <w:ind w:left="360"/>
      </w:pPr>
      <w:r>
        <w:rPr>
          <w:rFonts w:ascii="Courier New" w:cs="Courier New" w:eastAsia="Courier New" w:hAnsi="Courier New"/>
          <w:color w:val="2C3E50"/>
          <w:sz w:val="18"/>
          <w:szCs w:val="18"/>
        </w:rPr>
        <w:t xml:space="preserve">  |-- COA: Expense - Cost of Funds (FTP rate applied)   -&gt; PKR  (9,800)</w:t>
      </w:r>
    </w:p>
    <w:p>
      <w:pPr>
        <w:shd w:fill="F2F4F4" w:val="clear"/>
        <w:spacing w:before="40" w:after="40"/>
        <w:ind w:left="360"/>
      </w:pPr>
      <w:r>
        <w:rPr>
          <w:rFonts w:ascii="Courier New" w:cs="Courier New" w:eastAsia="Courier New" w:hAnsi="Courier New"/>
          <w:color w:val="2C3E50"/>
          <w:sz w:val="18"/>
          <w:szCs w:val="18"/>
        </w:rPr>
        <w:t xml:space="preserve">  '-- COA: Expense - Operating Cost (allocated)         -&gt; PKR  (3,200)</w:t>
      </w:r>
    </w:p>
    <w:p>
      <w:pPr>
        <w:spacing w:before="80" w:after="80"/>
      </w:pPr>
    </w:p>
    <w:p>
      <w:pPr>
        <w:pStyle w:val="Heading2"/>
        <w:spacing w:before="280" w:after="160"/>
      </w:pPr>
      <w:r>
        <w:rPr>
          <w:rFonts w:ascii="Arial" w:cs="Arial" w:eastAsia="Arial" w:hAnsi="Arial"/>
          <w:b/>
          <w:bCs/>
          <w:color w:val="2E86C1"/>
          <w:sz w:val="26"/>
          <w:szCs w:val="26"/>
        </w:rPr>
        <w:t xml:space="preserve">3.5 Data Platform Modernization: Cloudera CDP Alongside Teradata</w:t>
      </w:r>
    </w:p>
    <w:p>
      <w:pPr>
        <w:spacing w:before="80" w:after="80"/>
        <w:jc w:val="both"/>
      </w:pPr>
      <w:r>
        <w:rPr>
          <w:rFonts w:ascii="Arial" w:cs="Arial" w:eastAsia="Arial" w:hAnsi="Arial"/>
          <w:color w:val="2C3E50"/>
          <w:sz w:val="20"/>
          <w:szCs w:val="20"/>
        </w:rPr>
        <w:t xml:space="preserve">UBL has adopted Cloudera Data Platform (CDP) as an additional data analytics layer, implemented by Blutech Consulting with CIO Faisal Anwar as program champion. This creates a hybrid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Platform</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Role</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Workloads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Teradata IntelliFlex</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Enterprise DWH (FSDM)</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TVA profitability, regulatory reporting, GL reconciliation, heavy SQL analytics</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Cloudera CDP</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Data Lakehouse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AI/ML models, real-time analytics, self-service BI, unstructured data, customer 360</w:t>
            </w:r>
          </w:p>
        </w:tc>
      </w:tr>
    </w:tbl>
    <w:p>
      <w:pPr>
        <w:spacing w:before="80" w:after="80"/>
      </w:pPr>
    </w:p>
    <w:p>
      <w:pPr>
        <w:spacing w:before="80" w:after="80"/>
        <w:jc w:val="both"/>
      </w:pPr>
      <w:r>
        <w:rPr>
          <w:rFonts w:ascii="Arial" w:cs="Arial" w:eastAsia="Arial" w:hAnsi="Arial"/>
          <w:color w:val="2C3E50"/>
          <w:sz w:val="20"/>
          <w:szCs w:val="20"/>
        </w:rPr>
        <w:t xml:space="preserve">Key capabilities enabled by Cloudera CDP at UBL include: ML/AI infused into key decision-making (ATM cash optimization, real-time fraud scoring), 'Analytics for Everyone' self-service BI program, executive dashboards for senior leadership, and a consolidated data hub serving as single source of truth for downstream applications.</w:t>
      </w:r>
    </w:p>
    <w:p>
      <w:pPr>
        <w:spacing w:before="80" w:after="80"/>
        <w:jc w:val="both"/>
      </w:pPr>
      <w:r>
        <w:rPr>
          <w:rFonts w:ascii="Arial" w:cs="Arial" w:eastAsia="Arial" w:hAnsi="Arial"/>
          <w:color w:val="2C3E50"/>
          <w:sz w:val="20"/>
          <w:szCs w:val="20"/>
        </w:rPr>
        <w:t xml:space="preserve">The FSDM logical data model concepts (party, agreement, transaction subject areas) likely persist conceptually, but the physical implementation now spans both Teradata (mission-critical financial calculations) and Cloudera (broader analytics, AI/ML, and real-time use cases).</w:t>
      </w:r>
    </w:p>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4. TVA Profitability Engine - Revenue, FTP &amp; Cost Allocation</w:t>
      </w:r>
    </w:p>
    <w:p>
      <w:pPr>
        <w:pStyle w:val="Heading2"/>
        <w:spacing w:before="280" w:after="160"/>
      </w:pPr>
      <w:r>
        <w:rPr>
          <w:rFonts w:ascii="Arial" w:cs="Arial" w:eastAsia="Arial" w:hAnsi="Arial"/>
          <w:b/>
          <w:bCs/>
          <w:color w:val="2E86C1"/>
          <w:sz w:val="26"/>
          <w:szCs w:val="26"/>
        </w:rPr>
        <w:t xml:space="preserve">4.1 Core Philosophy: GL-Reconciled Customer Profitability</w:t>
      </w:r>
    </w:p>
    <w:p>
      <w:pPr>
        <w:spacing w:before="80" w:after="80"/>
        <w:jc w:val="both"/>
      </w:pPr>
      <w:r>
        <w:rPr>
          <w:rFonts w:ascii="Arial" w:cs="Arial" w:eastAsia="Arial" w:hAnsi="Arial"/>
          <w:color w:val="2C3E50"/>
          <w:sz w:val="20"/>
          <w:szCs w:val="20"/>
        </w:rPr>
        <w:t xml:space="preserve">Teradata Value Analyzer (TVA) follows the principle that every rupee of revenue and every rupee of cost that appears in the bank's General Ledger must ultimately land on a customer. Nothing disappears, nothing is created. The total of all customer-level profitabilities must reconcile back to the bank's P&amp;L. This is what makes TVA credible to the CFO and auditors.</w:t>
      </w:r>
    </w:p>
    <w:p>
      <w:pPr>
        <w:spacing w:before="80" w:after="80"/>
      </w:pPr>
    </w:p>
    <w:p>
      <w:pPr>
        <w:shd w:fill="F2F4F4" w:val="clear"/>
        <w:spacing w:before="40" w:after="40"/>
        <w:ind w:left="360"/>
      </w:pPr>
      <w:r>
        <w:rPr>
          <w:rFonts w:ascii="Courier New" w:cs="Courier New" w:eastAsia="Courier New" w:hAnsi="Courier New"/>
          <w:color w:val="2C3E50"/>
          <w:sz w:val="18"/>
          <w:szCs w:val="18"/>
        </w:rPr>
        <w:t xml:space="preserve">Bank P&amp;L (from GL):</w:t>
      </w:r>
    </w:p>
    <w:p>
      <w:pPr>
        <w:shd w:fill="F2F4F4" w:val="clear"/>
        <w:spacing w:before="40" w:after="40"/>
        <w:ind w:left="360"/>
      </w:pPr>
      <w:r>
        <w:rPr>
          <w:rFonts w:ascii="Courier New" w:cs="Courier New" w:eastAsia="Courier New" w:hAnsi="Courier New"/>
          <w:color w:val="2C3E50"/>
          <w:sz w:val="18"/>
          <w:szCs w:val="18"/>
        </w:rPr>
        <w:t xml:space="preserve">  Total Revenue:        PKR 15.2 Bn</w:t>
      </w:r>
    </w:p>
    <w:p>
      <w:pPr>
        <w:shd w:fill="F2F4F4" w:val="clear"/>
        <w:spacing w:before="40" w:after="40"/>
        <w:ind w:left="360"/>
      </w:pPr>
      <w:r>
        <w:rPr>
          <w:rFonts w:ascii="Courier New" w:cs="Courier New" w:eastAsia="Courier New" w:hAnsi="Courier New"/>
          <w:color w:val="2C3E50"/>
          <w:sz w:val="18"/>
          <w:szCs w:val="18"/>
        </w:rPr>
        <w:t xml:space="preserve">  Total Cost of Funds:  PKR (6.8 Bn)</w:t>
      </w:r>
    </w:p>
    <w:p>
      <w:pPr>
        <w:shd w:fill="F2F4F4" w:val="clear"/>
        <w:spacing w:before="40" w:after="40"/>
        <w:ind w:left="360"/>
      </w:pPr>
      <w:r>
        <w:rPr>
          <w:rFonts w:ascii="Courier New" w:cs="Courier New" w:eastAsia="Courier New" w:hAnsi="Courier New"/>
          <w:color w:val="2C3E50"/>
          <w:sz w:val="18"/>
          <w:szCs w:val="18"/>
        </w:rPr>
        <w:t xml:space="preserve">  Total Direct Cost:    PKR (2.1 Bn)</w:t>
      </w:r>
    </w:p>
    <w:p>
      <w:pPr>
        <w:shd w:fill="F2F4F4" w:val="clear"/>
        <w:spacing w:before="40" w:after="40"/>
        <w:ind w:left="360"/>
      </w:pPr>
      <w:r>
        <w:rPr>
          <w:rFonts w:ascii="Courier New" w:cs="Courier New" w:eastAsia="Courier New" w:hAnsi="Courier New"/>
          <w:color w:val="2C3E50"/>
          <w:sz w:val="18"/>
          <w:szCs w:val="18"/>
        </w:rPr>
        <w:t xml:space="preserve">  Total Indirect Cost:  PKR (3.4 Bn)</w:t>
      </w:r>
    </w:p>
    <w:p>
      <w:pPr>
        <w:shd w:fill="F2F4F4" w:val="clear"/>
        <w:spacing w:before="40" w:after="40"/>
        <w:ind w:left="360"/>
      </w:pPr>
      <w:r>
        <w:rPr>
          <w:rFonts w:ascii="Courier New" w:cs="Courier New" w:eastAsia="Courier New" w:hAnsi="Courier New"/>
          <w:color w:val="2C3E50"/>
          <w:sz w:val="18"/>
          <w:szCs w:val="18"/>
        </w:rPr>
        <w:t xml:space="preserve">  Total Provisions:     PKR (1.2 Bn)</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  Net Profit:           PKR  1.7 Bn</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MUST EQUAL:</w:t>
      </w:r>
    </w:p>
    <w:p>
      <w:pPr>
        <w:shd w:fill="F2F4F4" w:val="clear"/>
        <w:spacing w:before="40" w:after="40"/>
        <w:ind w:left="360"/>
      </w:pPr>
      <w:r>
        <w:rPr>
          <w:rFonts w:ascii="Courier New" w:cs="Courier New" w:eastAsia="Courier New" w:hAnsi="Courier New"/>
          <w:color w:val="2C3E50"/>
          <w:sz w:val="18"/>
          <w:szCs w:val="18"/>
        </w:rPr>
        <w:t xml:space="preserve">  Sum(Customer_1 profit + Customer_2 profit + ... + Customer_N profit)</w:t>
      </w:r>
    </w:p>
    <w:p>
      <w:pPr>
        <w:shd w:fill="F2F4F4" w:val="clear"/>
        <w:spacing w:before="40" w:after="40"/>
        <w:ind w:left="360"/>
      </w:pPr>
      <w:r>
        <w:rPr>
          <w:rFonts w:ascii="Courier New" w:cs="Courier New" w:eastAsia="Courier New" w:hAnsi="Courier New"/>
          <w:color w:val="2C3E50"/>
          <w:sz w:val="18"/>
          <w:szCs w:val="18"/>
        </w:rPr>
        <w:t xml:space="preserve">  = PKR 1.7 Bn  [RECONCILED]</w:t>
      </w:r>
    </w:p>
    <w:p>
      <w:pPr>
        <w:spacing w:before="80" w:after="80"/>
      </w:pPr>
    </w:p>
    <w:p>
      <w:pPr>
        <w:pStyle w:val="Heading2"/>
        <w:spacing w:before="280" w:after="160"/>
      </w:pPr>
      <w:r>
        <w:rPr>
          <w:rFonts w:ascii="Arial" w:cs="Arial" w:eastAsia="Arial" w:hAnsi="Arial"/>
          <w:b/>
          <w:bCs/>
          <w:color w:val="2E86C1"/>
          <w:sz w:val="26"/>
          <w:szCs w:val="26"/>
        </w:rPr>
        <w:t xml:space="preserve">4.2 Dimensional Model - Customer as Prime Dimension</w:t>
      </w:r>
    </w:p>
    <w:p>
      <w:pPr>
        <w:spacing w:before="80" w:after="80"/>
        <w:jc w:val="both"/>
      </w:pPr>
      <w:r>
        <w:rPr>
          <w:rFonts w:ascii="Arial" w:cs="Arial" w:eastAsia="Arial" w:hAnsi="Arial"/>
          <w:color w:val="2C3E50"/>
          <w:sz w:val="20"/>
          <w:szCs w:val="20"/>
        </w:rPr>
        <w:t xml:space="preserve">Customer is the primary dimension in the profitability model. All revenue, costs, and allocations ultimately roll up to the customer level. From the customer, profitability can be sliced across multiple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Hierarchy</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Profitability Use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(Prime)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Party ID &gt; Segment &gt; Risk Grade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Total relationship value, cross-sell opportunities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Account/Agreement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Agreement ID &gt; Product Type &gt; Balance Type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Product-level contribution, pricing effectiveness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Product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Product Code &gt; Product Group &gt; Asset/Liability</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Product line profitability, pricing strategy</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 &gt; Region &gt; Zone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 profitability, network optimization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Channel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Channel &gt; Sub-channel</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Cost-to-serve analysis, digital migration ROI</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Department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Department &gt; Cost Center &gt; Function</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Departmental cost attribution and efficiency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Relationship Manager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RM &gt; Team &gt; Region</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Portfolio performance, incentive calculation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Time</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Day &gt; Month &gt; Quarter &gt; Year</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Trend analysis, cohort tracking, seasonality</w:t>
            </w:r>
          </w:p>
        </w:tc>
      </w:tr>
    </w:tbl>
    <w:p>
      <w:pPr>
        <w:spacing w:before="80" w:after="80"/>
      </w:pPr>
    </w:p>
    <w:p>
      <w:pPr>
        <w:pStyle w:val="Heading2"/>
        <w:spacing w:before="280" w:after="160"/>
      </w:pPr>
      <w:r>
        <w:rPr>
          <w:rFonts w:ascii="Arial" w:cs="Arial" w:eastAsia="Arial" w:hAnsi="Arial"/>
          <w:b/>
          <w:bCs/>
          <w:color w:val="2E86C1"/>
          <w:sz w:val="26"/>
          <w:szCs w:val="26"/>
        </w:rPr>
        <w:t xml:space="preserve">4.3 Revenue Side</w:t>
      </w:r>
    </w:p>
    <w:p>
      <w:pPr>
        <w:spacing w:before="200" w:after="120"/>
      </w:pPr>
      <w:r>
        <w:rPr>
          <w:rFonts w:ascii="Arial" w:cs="Arial" w:eastAsia="Arial" w:hAnsi="Arial"/>
          <w:b/>
          <w:bCs/>
          <w:color w:val="2C3E50"/>
          <w:sz w:val="22"/>
          <w:szCs w:val="22"/>
        </w:rPr>
        <w:t xml:space="preserve">4.3.1 Card Revenue Sources (from 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Revenue Type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COA Mapping</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Attribution Level</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Interest/Markup Income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Daily accrual x rate x days/365 by balance type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Interest Income on Credit Cards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Direct to account</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Annual/Membership Fee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Charged at cycle cut per product rules</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Card Fee Income</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Direct to account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Late Payment Fee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Charged when min payment not received by due date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Penalty Fee Income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Direct to account</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Overlimit Fee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Charged when balance exceeds credit limit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Penalty Fee Income</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Direct to account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Cash Advance Fee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Percentage of cash advance transaction amount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Transaction Fee Income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Direct to account</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Balance Transfer Fee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Percentage of BT amount</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Transaction Fee Income</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Direct to account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FX Conversion Markup</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Percentage added on international transactions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FX Income - Cards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Direct to account</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Interchange Income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Issuer share of merchant discount per transaction</w:t>
            </w:r>
          </w:p>
        </w:tc>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Interchange Income</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Transaction-level</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Scheme Incentive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Volume-based rebates from Visa/MC/PayPak</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Scheme Incentive Income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Allocated by spend</w:t>
            </w:r>
          </w:p>
        </w:tc>
      </w:tr>
    </w:tbl>
    <w:p>
      <w:pPr>
        <w:spacing w:before="80" w:after="80"/>
      </w:pPr>
    </w:p>
    <w:p>
      <w:pPr>
        <w:spacing w:before="200" w:after="120"/>
      </w:pPr>
      <w:r>
        <w:rPr>
          <w:rFonts w:ascii="Arial" w:cs="Arial" w:eastAsia="Arial" w:hAnsi="Arial"/>
          <w:b/>
          <w:bCs/>
          <w:color w:val="2C3E50"/>
          <w:sz w:val="22"/>
          <w:szCs w:val="22"/>
        </w:rPr>
        <w:t xml:space="preserve">4.3.2 Revenue from Other Products (Same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Revenue Source</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Calculation</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COA</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Deposit Spread</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(FTP Rate - Actual Rate Paid) x Average Balance</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Interest Expense (what bank pays)</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Lending Income</w:t>
            </w:r>
          </w:p>
        </w:tc>
        <w:tc>
          <w:tcPr>
            <w:tcW w:type="dxa" w:w="3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(Actual Rate Charged - FTP Rate) x Average Balance</w:t>
            </w:r>
          </w:p>
        </w:tc>
        <w:tc>
          <w:tcPr>
            <w:tcW w:type="dxa" w:w="3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Interest Income on Advances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Trade Finance</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LC commission + guarantee fees + trade markup</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Commission &amp; Fee Income - Trade</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Treasury/FX</w:t>
            </w:r>
          </w:p>
        </w:tc>
        <w:tc>
          <w:tcPr>
            <w:tcW w:type="dxa" w:w="3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FX conversion margins on remittances, TT</w:t>
            </w:r>
          </w:p>
        </w:tc>
        <w:tc>
          <w:tcPr>
            <w:tcW w:type="dxa" w:w="31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FX Dealing Income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Service Fees</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Account maintenance, cheque, statement fees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Service Fee Income</w:t>
            </w:r>
          </w:p>
        </w:tc>
      </w:tr>
    </w:tbl>
    <w:p>
      <w:pPr>
        <w:spacing w:before="80" w:after="80"/>
      </w:pPr>
    </w:p>
    <w:p>
      <w:pPr>
        <w:spacing w:before="200" w:after="120"/>
      </w:pPr>
      <w:r>
        <w:rPr>
          <w:rFonts w:ascii="Arial" w:cs="Arial" w:eastAsia="Arial" w:hAnsi="Arial"/>
          <w:b/>
          <w:bCs/>
          <w:color w:val="2C3E50"/>
          <w:sz w:val="22"/>
          <w:szCs w:val="22"/>
        </w:rPr>
        <w:t xml:space="preserve">4.3.3 Revenue Attribution Logic</w:t>
      </w:r>
    </w:p>
    <w:p>
      <w:pPr>
        <w:spacing w:before="60" w:after="60"/>
      </w:pPr>
      <w:r>
        <w:rPr>
          <w:rFonts w:ascii="Arial" w:cs="Arial" w:eastAsia="Arial" w:hAnsi="Arial"/>
          <w:b/>
          <w:bCs/>
          <w:color w:val="2C3E50"/>
          <w:sz w:val="20"/>
          <w:szCs w:val="20"/>
        </w:rPr>
        <w:t xml:space="preserve">Direct Revenue (1:1 to customer, no allocation needed):</w:t>
      </w:r>
      <w:r>
        <w:rPr>
          <w:rFonts w:ascii="Arial" w:cs="Arial" w:eastAsia="Arial" w:hAnsi="Arial"/>
          <w:color w:val="2C3E50"/>
          <w:sz w:val="20"/>
          <w:szCs w:val="20"/>
        </w:rPr>
        <w:t xml:space="preserve"> Interest on customer's accounts, fees charged to customer's accounts, deposit spread on customer's balances, trade fees on customer's facilities.</w:t>
      </w:r>
    </w:p>
    <w:p>
      <w:pPr>
        <w:spacing w:before="60" w:after="60"/>
      </w:pPr>
      <w:r>
        <w:rPr>
          <w:rFonts w:ascii="Arial" w:cs="Arial" w:eastAsia="Arial" w:hAnsi="Arial"/>
          <w:b/>
          <w:bCs/>
          <w:color w:val="2C3E50"/>
          <w:sz w:val="20"/>
          <w:szCs w:val="20"/>
        </w:rPr>
        <w:t xml:space="preserve">Attributed Revenue (needs transaction-level mapping):</w:t>
      </w:r>
      <w:r>
        <w:rPr>
          <w:rFonts w:ascii="Arial" w:cs="Arial" w:eastAsia="Arial" w:hAnsi="Arial"/>
          <w:color w:val="2C3E50"/>
          <w:sz w:val="20"/>
          <w:szCs w:val="20"/>
        </w:rPr>
        <w:t xml:space="preserve"> Interchange income mapped via card transactions (each purchase has MCC lookup for applicable interchange rate), scheme incentives allocated by spend volume contribution.</w:t>
      </w:r>
    </w:p>
    <w:p>
      <w:pPr>
        <w:spacing w:before="80" w:after="80"/>
      </w:pPr>
    </w:p>
    <w:p>
      <w:pPr>
        <w:pStyle w:val="Heading2"/>
        <w:spacing w:before="280" w:after="160"/>
      </w:pPr>
      <w:r>
        <w:rPr>
          <w:rFonts w:ascii="Arial" w:cs="Arial" w:eastAsia="Arial" w:hAnsi="Arial"/>
          <w:b/>
          <w:bCs/>
          <w:color w:val="2E86C1"/>
          <w:sz w:val="26"/>
          <w:szCs w:val="26"/>
        </w:rPr>
        <w:t xml:space="preserve">4.4 Funds Transfer Pricing (FTP) Engine</w:t>
      </w:r>
    </w:p>
    <w:p>
      <w:pPr>
        <w:spacing w:before="80" w:after="80"/>
        <w:jc w:val="both"/>
      </w:pPr>
      <w:r>
        <w:rPr>
          <w:rFonts w:ascii="Arial" w:cs="Arial" w:eastAsia="Arial" w:hAnsi="Arial"/>
          <w:color w:val="2C3E50"/>
          <w:sz w:val="20"/>
          <w:szCs w:val="20"/>
        </w:rPr>
        <w:t xml:space="preserve">FTP is the heart of the profitability engine. It creates an internal market for funds between asset-side products (cards, loans) and liability-side products (deposits). Every deposit 'sells' funds to the internal treasury at the FTP rate, and every loan/card 'buys' funds from the internal treasury at the FTP rate.</w:t>
      </w:r>
    </w:p>
    <w:p>
      <w:pPr>
        <w:spacing w:before="200" w:after="120"/>
      </w:pPr>
      <w:r>
        <w:rPr>
          <w:rFonts w:ascii="Arial" w:cs="Arial" w:eastAsia="Arial" w:hAnsi="Arial"/>
          <w:b/>
          <w:bCs/>
          <w:color w:val="2C3E50"/>
          <w:sz w:val="22"/>
          <w:szCs w:val="22"/>
        </w:rPr>
        <w:t xml:space="preserve">4.4.1 FTP Concept</w:t>
      </w:r>
    </w:p>
    <w:p>
      <w:pPr>
        <w:shd w:fill="F2F4F4" w:val="clear"/>
        <w:spacing w:before="40" w:after="40"/>
        <w:ind w:left="360"/>
      </w:pPr>
      <w:r>
        <w:rPr>
          <w:rFonts w:ascii="Courier New" w:cs="Courier New" w:eastAsia="Courier New" w:hAnsi="Courier New"/>
          <w:color w:val="2C3E50"/>
          <w:sz w:val="18"/>
          <w:szCs w:val="18"/>
        </w:rPr>
        <w:t xml:space="preserve">Deposits ----&gt; [Internal Treasury Pool] ----&gt; Loans/Cards</w:t>
      </w:r>
    </w:p>
    <w:p>
      <w:pPr>
        <w:shd w:fill="F2F4F4" w:val="clear"/>
        <w:spacing w:before="40" w:after="40"/>
        <w:ind w:left="360"/>
      </w:pPr>
      <w:r>
        <w:rPr>
          <w:rFonts w:ascii="Courier New" w:cs="Courier New" w:eastAsia="Courier New" w:hAnsi="Courier New"/>
          <w:color w:val="2C3E50"/>
          <w:sz w:val="18"/>
          <w:szCs w:val="18"/>
        </w:rPr>
        <w:t xml:space="preserve">(liability)     FTP Rate = KIBOR + spread     (assets)</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DEPOSIT SIDE EXAMPLE:</w:t>
      </w:r>
    </w:p>
    <w:p>
      <w:pPr>
        <w:shd w:fill="F2F4F4" w:val="clear"/>
        <w:spacing w:before="40" w:after="40"/>
        <w:ind w:left="360"/>
      </w:pPr>
      <w:r>
        <w:rPr>
          <w:rFonts w:ascii="Courier New" w:cs="Courier New" w:eastAsia="Courier New" w:hAnsi="Courier New"/>
          <w:color w:val="2C3E50"/>
          <w:sz w:val="18"/>
          <w:szCs w:val="18"/>
        </w:rPr>
        <w:t xml:space="preserve">  Customer A: PKR 5M savings @ 8% actual rate</w:t>
      </w:r>
    </w:p>
    <w:p>
      <w:pPr>
        <w:shd w:fill="F2F4F4" w:val="clear"/>
        <w:spacing w:before="40" w:after="40"/>
        <w:ind w:left="360"/>
      </w:pPr>
      <w:r>
        <w:rPr>
          <w:rFonts w:ascii="Courier New" w:cs="Courier New" w:eastAsia="Courier New" w:hAnsi="Courier New"/>
          <w:color w:val="2C3E50"/>
          <w:sz w:val="18"/>
          <w:szCs w:val="18"/>
        </w:rPr>
        <w:t xml:space="preserve">  FTP Rate for savings tenor: 12%</w:t>
      </w:r>
    </w:p>
    <w:p>
      <w:pPr>
        <w:shd w:fill="F2F4F4" w:val="clear"/>
        <w:spacing w:before="40" w:after="40"/>
        <w:ind w:left="360"/>
      </w:pPr>
      <w:r>
        <w:rPr>
          <w:rFonts w:ascii="Courier New" w:cs="Courier New" w:eastAsia="Courier New" w:hAnsi="Courier New"/>
          <w:color w:val="2C3E50"/>
          <w:sz w:val="18"/>
          <w:szCs w:val="18"/>
        </w:rPr>
        <w:t xml:space="preserve">  FTP Credit = (12% - 8%) x 5,000,000 / 12 = PKR 16,667/month</w:t>
      </w:r>
    </w:p>
    <w:p>
      <w:pPr>
        <w:shd w:fill="F2F4F4" w:val="clear"/>
        <w:spacing w:before="40" w:after="40"/>
        <w:ind w:left="360"/>
      </w:pPr>
      <w:r>
        <w:rPr>
          <w:rFonts w:ascii="Courier New" w:cs="Courier New" w:eastAsia="Courier New" w:hAnsi="Courier New"/>
          <w:color w:val="2C3E50"/>
          <w:sz w:val="18"/>
          <w:szCs w:val="18"/>
        </w:rPr>
        <w:t xml:space="preserve">  -&gt; This is the REVENUE that deposit gathering generates</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CARD SIDE EXAMPLE:</w:t>
      </w:r>
    </w:p>
    <w:p>
      <w:pPr>
        <w:shd w:fill="F2F4F4" w:val="clear"/>
        <w:spacing w:before="40" w:after="40"/>
        <w:ind w:left="360"/>
      </w:pPr>
      <w:r>
        <w:rPr>
          <w:rFonts w:ascii="Courier New" w:cs="Courier New" w:eastAsia="Courier New" w:hAnsi="Courier New"/>
          <w:color w:val="2C3E50"/>
          <w:sz w:val="18"/>
          <w:szCs w:val="18"/>
        </w:rPr>
        <w:t xml:space="preserve">  Customer A: PKR 300K card balance @ 24% markup</w:t>
      </w:r>
    </w:p>
    <w:p>
      <w:pPr>
        <w:shd w:fill="F2F4F4" w:val="clear"/>
        <w:spacing w:before="40" w:after="40"/>
        <w:ind w:left="360"/>
      </w:pPr>
      <w:r>
        <w:rPr>
          <w:rFonts w:ascii="Courier New" w:cs="Courier New" w:eastAsia="Courier New" w:hAnsi="Courier New"/>
          <w:color w:val="2C3E50"/>
          <w:sz w:val="18"/>
          <w:szCs w:val="18"/>
        </w:rPr>
        <w:t xml:space="preserve">  FTP Rate for card tenor (~3 month revolving): 13%</w:t>
      </w:r>
    </w:p>
    <w:p>
      <w:pPr>
        <w:shd w:fill="F2F4F4" w:val="clear"/>
        <w:spacing w:before="40" w:after="40"/>
        <w:ind w:left="360"/>
      </w:pPr>
      <w:r>
        <w:rPr>
          <w:rFonts w:ascii="Courier New" w:cs="Courier New" w:eastAsia="Courier New" w:hAnsi="Courier New"/>
          <w:color w:val="2C3E50"/>
          <w:sz w:val="18"/>
          <w:szCs w:val="18"/>
        </w:rPr>
        <w:t xml:space="preserve">  FTP Charge = 13% x 300,000 / 12 = PKR 3,250/month (cost of funds)</w:t>
      </w:r>
    </w:p>
    <w:p>
      <w:pPr>
        <w:shd w:fill="F2F4F4" w:val="clear"/>
        <w:spacing w:before="40" w:after="40"/>
        <w:ind w:left="360"/>
      </w:pPr>
      <w:r>
        <w:rPr>
          <w:rFonts w:ascii="Courier New" w:cs="Courier New" w:eastAsia="Courier New" w:hAnsi="Courier New"/>
          <w:color w:val="2C3E50"/>
          <w:sz w:val="18"/>
          <w:szCs w:val="18"/>
        </w:rPr>
        <w:t xml:space="preserve">  Net Spread = (24% - 13%) x 300,000 / 12 = PKR 2,750/month</w:t>
      </w:r>
    </w:p>
    <w:p>
      <w:pPr>
        <w:spacing w:before="80" w:after="80"/>
      </w:pPr>
    </w:p>
    <w:p>
      <w:pPr>
        <w:spacing w:before="200" w:after="120"/>
      </w:pPr>
      <w:r>
        <w:rPr>
          <w:rFonts w:ascii="Arial" w:cs="Arial" w:eastAsia="Arial" w:hAnsi="Arial"/>
          <w:b/>
          <w:bCs/>
          <w:color w:val="2C3E50"/>
          <w:sz w:val="22"/>
          <w:szCs w:val="22"/>
        </w:rPr>
        <w:t xml:space="preserve">4.4.2 FTP Rate Assignment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27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Accuracy</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UBL Application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Single Pool Rate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One FTP rate for everything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Low</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Not recommended; doesn't reflect tenor/liquidity</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Matched Maturity (Preferred)</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Each product gets FTP rate matching behavioral tenor</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High</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Current accounts=overnight, savings=6M, cards=3M, mortgage=15Y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Tiered/Blended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Weighted average of multiple tenor rates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Medium</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Used when behavioral analysis still maturing</w:t>
            </w:r>
          </w:p>
        </w:tc>
      </w:tr>
    </w:tbl>
    <w:p>
      <w:pPr>
        <w:spacing w:before="80" w:after="80"/>
      </w:pPr>
    </w:p>
    <w:p>
      <w:pPr>
        <w:spacing w:before="200" w:after="120"/>
      </w:pPr>
      <w:r>
        <w:rPr>
          <w:rFonts w:ascii="Arial" w:cs="Arial" w:eastAsia="Arial" w:hAnsi="Arial"/>
          <w:b/>
          <w:bCs/>
          <w:color w:val="2C3E50"/>
          <w:sz w:val="22"/>
          <w:szCs w:val="22"/>
        </w:rPr>
        <w:t xml:space="preserve">4.4.3 FTP Rate Table (UBL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Product</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Behavioral Tenor</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FTP Rate Benchmark</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Current Account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Overnight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Overnight KIBOR (~15.50%)</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Savings Account</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6 Months</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6M KIBOR (~14.25%)</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Term Deposit 1Y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 Year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1Y KIBOR (~13.75%)</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Term Deposit 3Y</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3 Years</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3Y PKR Swap (~13.25%)</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Credit Card Revolving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3 Months (avg cycle)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3M KIBOR (~14.50%)</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Personal Loan 3Y</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3 Years</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3Y PKR Swap (~13.25%)</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Auto Loan 5Y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5 Years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5Y PKR Swap (~12.80%)</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Mortgage 15Y</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15 Years</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Long-term bond rate (~12.00%)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Running Finance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 Month (demand)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1M KIBOR (~15.00%)</w:t>
            </w:r>
          </w:p>
        </w:tc>
      </w:tr>
    </w:tbl>
    <w:p>
      <w:pPr>
        <w:spacing w:before="80" w:after="80"/>
      </w:pPr>
    </w:p>
    <w:p>
      <w:pPr>
        <w:spacing w:before="200" w:after="120"/>
      </w:pPr>
      <w:r>
        <w:rPr>
          <w:rFonts w:ascii="Arial" w:cs="Arial" w:eastAsia="Arial" w:hAnsi="Arial"/>
          <w:b/>
          <w:bCs/>
          <w:color w:val="2C3E50"/>
          <w:sz w:val="22"/>
          <w:szCs w:val="22"/>
        </w:rPr>
        <w:t xml:space="preserve">4.4.4 Daily FTP Calculation Per Account</w:t>
      </w:r>
    </w:p>
    <w:p>
      <w:pPr>
        <w:shd w:fill="F2F4F4" w:val="clear"/>
        <w:spacing w:before="40" w:after="40"/>
        <w:ind w:left="360"/>
      </w:pPr>
      <w:r>
        <w:rPr>
          <w:rFonts w:ascii="Courier New" w:cs="Courier New" w:eastAsia="Courier New" w:hAnsi="Courier New"/>
          <w:color w:val="2C3E50"/>
          <w:sz w:val="18"/>
          <w:szCs w:val="18"/>
        </w:rPr>
        <w:t xml:space="preserve">For each account, each day:</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IF Asset Account (Card, Loan):</w:t>
      </w:r>
    </w:p>
    <w:p>
      <w:pPr>
        <w:shd w:fill="F2F4F4" w:val="clear"/>
        <w:spacing w:before="40" w:after="40"/>
        <w:ind w:left="360"/>
      </w:pPr>
      <w:r>
        <w:rPr>
          <w:rFonts w:ascii="Courier New" w:cs="Courier New" w:eastAsia="Courier New" w:hAnsi="Courier New"/>
          <w:color w:val="2C3E50"/>
          <w:sz w:val="18"/>
          <w:szCs w:val="18"/>
        </w:rPr>
        <w:t xml:space="preserve">  FTP Charge = Daily Balance x FTP Rate / 365</w:t>
      </w:r>
    </w:p>
    <w:p>
      <w:pPr>
        <w:shd w:fill="F2F4F4" w:val="clear"/>
        <w:spacing w:before="40" w:after="40"/>
        <w:ind w:left="360"/>
      </w:pPr>
      <w:r>
        <w:rPr>
          <w:rFonts w:ascii="Courier New" w:cs="Courier New" w:eastAsia="Courier New" w:hAnsi="Courier New"/>
          <w:color w:val="2C3E50"/>
          <w:sz w:val="18"/>
          <w:szCs w:val="18"/>
        </w:rPr>
        <w:t xml:space="preserve">  Net Spread = (Actual Rate - FTP Rate) x Daily Balance / 365</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IF Liability Account (Deposit):</w:t>
      </w:r>
    </w:p>
    <w:p>
      <w:pPr>
        <w:shd w:fill="F2F4F4" w:val="clear"/>
        <w:spacing w:before="40" w:after="40"/>
        <w:ind w:left="360"/>
      </w:pPr>
      <w:r>
        <w:rPr>
          <w:rFonts w:ascii="Courier New" w:cs="Courier New" w:eastAsia="Courier New" w:hAnsi="Courier New"/>
          <w:color w:val="2C3E50"/>
          <w:sz w:val="18"/>
          <w:szCs w:val="18"/>
        </w:rPr>
        <w:t xml:space="preserve">  FTP Credit = Daily Balance x FTP Rate / 365</w:t>
      </w:r>
    </w:p>
    <w:p>
      <w:pPr>
        <w:shd w:fill="F2F4F4" w:val="clear"/>
        <w:spacing w:before="40" w:after="40"/>
        <w:ind w:left="360"/>
      </w:pPr>
      <w:r>
        <w:rPr>
          <w:rFonts w:ascii="Courier New" w:cs="Courier New" w:eastAsia="Courier New" w:hAnsi="Courier New"/>
          <w:color w:val="2C3E50"/>
          <w:sz w:val="18"/>
          <w:szCs w:val="18"/>
        </w:rPr>
        <w:t xml:space="preserve">  Net Spread = (FTP Rate - Actual Rate Paid) x Daily Balance / 365</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Monthly Aggregation:</w:t>
      </w:r>
    </w:p>
    <w:p>
      <w:pPr>
        <w:shd w:fill="F2F4F4" w:val="clear"/>
        <w:spacing w:before="40" w:after="40"/>
        <w:ind w:left="360"/>
      </w:pPr>
      <w:r>
        <w:rPr>
          <w:rFonts w:ascii="Courier New" w:cs="Courier New" w:eastAsia="Courier New" w:hAnsi="Courier New"/>
          <w:color w:val="2C3E50"/>
          <w:sz w:val="18"/>
          <w:szCs w:val="18"/>
        </w:rPr>
        <w:t xml:space="preserve">  Account FTP = Sum(Daily FTP for 30/31 days)</w:t>
      </w:r>
    </w:p>
    <w:p>
      <w:pPr>
        <w:spacing w:before="80" w:after="80"/>
      </w:pPr>
    </w:p>
    <w:p>
      <w:pPr>
        <w:pStyle w:val="Heading2"/>
        <w:spacing w:before="280" w:after="160"/>
      </w:pPr>
      <w:r>
        <w:rPr>
          <w:rFonts w:ascii="Arial" w:cs="Arial" w:eastAsia="Arial" w:hAnsi="Arial"/>
          <w:b/>
          <w:bCs/>
          <w:color w:val="2E86C1"/>
          <w:sz w:val="26"/>
          <w:szCs w:val="26"/>
        </w:rPr>
        <w:t xml:space="preserve">4.5 The Cost Side - Layered Allocation Waterfall</w:t>
      </w:r>
    </w:p>
    <w:p>
      <w:pPr>
        <w:spacing w:before="80" w:after="80"/>
        <w:jc w:val="both"/>
      </w:pPr>
      <w:r>
        <w:rPr>
          <w:rFonts w:ascii="Arial" w:cs="Arial" w:eastAsia="Arial" w:hAnsi="Arial"/>
          <w:color w:val="2C3E50"/>
          <w:sz w:val="20"/>
          <w:szCs w:val="20"/>
        </w:rPr>
        <w:t xml:space="preserve">TVA handles costs through a layered allocation waterfall. The principle is: start from GL cost centers, push costs through progressively finer allocations until every rupee sits on a customer.</w:t>
      </w:r>
    </w:p>
    <w:p>
      <w:pPr>
        <w:spacing w:before="200" w:after="120"/>
      </w:pPr>
      <w:r>
        <w:rPr>
          <w:rFonts w:ascii="Arial" w:cs="Arial" w:eastAsia="Arial" w:hAnsi="Arial"/>
          <w:b/>
          <w:bCs/>
          <w:color w:val="2C3E50"/>
          <w:sz w:val="22"/>
          <w:szCs w:val="22"/>
        </w:rPr>
        <w:t xml:space="preserve">4.5.1 Layer 1: Direct Costs (Directly Attributable)</w:t>
      </w:r>
    </w:p>
    <w:p>
      <w:pPr>
        <w:spacing w:before="80" w:after="80"/>
        <w:jc w:val="both"/>
      </w:pPr>
      <w:r>
        <w:rPr>
          <w:rFonts w:ascii="Arial" w:cs="Arial" w:eastAsia="Arial" w:hAnsi="Arial"/>
          <w:color w:val="2C3E50"/>
          <w:sz w:val="20"/>
          <w:szCs w:val="20"/>
        </w:rPr>
        <w:t xml:space="preserve">These costs have a 1:1 relationship with a specific customer or account. No allocation logic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Cost Item</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Attribution</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 Production/Plastic Cost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 card issued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 operations</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Embossing &amp; Courier/Delivery</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 card dispatched</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Card operations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Scheme Fees (Visa/MC per-card)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 active card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Scheme invoices</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Reward Points Liability</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 transaction (points x redemption value)</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Loyalty system</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Chargeback Losses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 dispute (net of recovery)</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Dispute Manager</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Fraud Losses (Write-off)</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 account (actual loss)</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Collections/Write-off</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Insurance Premium (bundled)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 enrolled account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Insurance partner</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SMS/Notification Cost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 alert sent</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Messaging platform</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Stamp Duty/Documentation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 facility (loans)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Legal/compliance</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Credit Bureau Inquiry Fee</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 application</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eCIB</w:t>
            </w:r>
          </w:p>
        </w:tc>
      </w:tr>
    </w:tbl>
    <w:p>
      <w:pPr>
        <w:spacing w:before="80" w:after="80"/>
      </w:pPr>
    </w:p>
    <w:p>
      <w:pPr>
        <w:spacing w:before="200" w:after="120"/>
      </w:pPr>
      <w:r>
        <w:rPr>
          <w:rFonts w:ascii="Arial" w:cs="Arial" w:eastAsia="Arial" w:hAnsi="Arial"/>
          <w:b/>
          <w:bCs/>
          <w:color w:val="2C3E50"/>
          <w:sz w:val="22"/>
          <w:szCs w:val="22"/>
        </w:rPr>
        <w:t xml:space="preserve">4.5.2 Layer 2: Unit Costs / Standard Costs (Activity-Based Costing)</w:t>
      </w:r>
    </w:p>
    <w:p>
      <w:pPr>
        <w:spacing w:before="80" w:after="80"/>
        <w:jc w:val="both"/>
      </w:pPr>
      <w:r>
        <w:rPr>
          <w:rFonts w:ascii="Arial" w:cs="Arial" w:eastAsia="Arial" w:hAnsi="Arial"/>
          <w:color w:val="2C3E50"/>
          <w:sz w:val="20"/>
          <w:szCs w:val="20"/>
        </w:rPr>
        <w:t xml:space="preserve">These are costs where the activity is known, and a standard cost per unit of activity can be assigned to each customer based on their consumption. This is essentially Activity-Based Costing (ABC).</w:t>
      </w:r>
    </w:p>
    <w:p>
      <w:pPr>
        <w:shd w:fill="F2F4F4" w:val="clear"/>
        <w:spacing w:before="40" w:after="40"/>
        <w:ind w:left="360"/>
      </w:pPr>
      <w:r>
        <w:rPr>
          <w:rFonts w:ascii="Courier New" w:cs="Courier New" w:eastAsia="Courier New" w:hAnsi="Courier New"/>
          <w:color w:val="2C3E50"/>
          <w:sz w:val="18"/>
          <w:szCs w:val="18"/>
        </w:rPr>
        <w:t xml:space="preserve">Process:</w:t>
      </w:r>
    </w:p>
    <w:p>
      <w:pPr>
        <w:shd w:fill="F2F4F4" w:val="clear"/>
        <w:spacing w:before="40" w:after="40"/>
        <w:ind w:left="360"/>
      </w:pPr>
      <w:r>
        <w:rPr>
          <w:rFonts w:ascii="Courier New" w:cs="Courier New" w:eastAsia="Courier New" w:hAnsi="Courier New"/>
          <w:color w:val="2C3E50"/>
          <w:sz w:val="18"/>
          <w:szCs w:val="18"/>
        </w:rPr>
        <w:t xml:space="preserve">  Step 1: Identify activities and their total cost from GL</w:t>
      </w:r>
    </w:p>
    <w:p>
      <w:pPr>
        <w:shd w:fill="F2F4F4" w:val="clear"/>
        <w:spacing w:before="40" w:after="40"/>
        <w:ind w:left="360"/>
      </w:pPr>
      <w:r>
        <w:rPr>
          <w:rFonts w:ascii="Courier New" w:cs="Courier New" w:eastAsia="Courier New" w:hAnsi="Courier New"/>
          <w:color w:val="2C3E50"/>
          <w:sz w:val="18"/>
          <w:szCs w:val="18"/>
        </w:rPr>
        <w:t xml:space="preserve">  Step 2: Count volume of each activity</w:t>
      </w:r>
    </w:p>
    <w:p>
      <w:pPr>
        <w:shd w:fill="F2F4F4" w:val="clear"/>
        <w:spacing w:before="40" w:after="40"/>
        <w:ind w:left="360"/>
      </w:pPr>
      <w:r>
        <w:rPr>
          <w:rFonts w:ascii="Courier New" w:cs="Courier New" w:eastAsia="Courier New" w:hAnsi="Courier New"/>
          <w:color w:val="2C3E50"/>
          <w:sz w:val="18"/>
          <w:szCs w:val="18"/>
        </w:rPr>
        <w:t xml:space="preserve">  Step 3: Unit Cost = Total Cost / Volume</w:t>
      </w:r>
    </w:p>
    <w:p>
      <w:pPr>
        <w:shd w:fill="F2F4F4" w:val="clear"/>
        <w:spacing w:before="40" w:after="40"/>
        <w:ind w:left="360"/>
      </w:pPr>
      <w:r>
        <w:rPr>
          <w:rFonts w:ascii="Courier New" w:cs="Courier New" w:eastAsia="Courier New" w:hAnsi="Courier New"/>
          <w:color w:val="2C3E50"/>
          <w:sz w:val="18"/>
          <w:szCs w:val="18"/>
        </w:rPr>
        <w:t xml:space="preserve">  Step 4: Assign to customer based on their consumption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Activity</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GL Cost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Volume</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Unit Cost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ATM Transaction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45M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15M txns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3.00/txn</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 Transaction</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180M</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6M txns</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30.00/txn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Call Center Call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85M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2.8M calls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30.36/call</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Internet Banking Txn</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12M</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8M txns</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1.50/txn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Mobile Banking Txn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8M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10M txns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0.80/txn</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Statement Generation</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25M</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4M stmts</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6.25/stmt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 Authorization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15M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50M auths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0.30/auth</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Cheque Processing</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22M</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3M cheques</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7.33/cheque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Account Opening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35M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500K accounts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70.00/acct</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Dispute Handling</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18M</w:t>
            </w:r>
          </w:p>
        </w:tc>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120K disputes</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150.00/dispute</w:t>
            </w:r>
          </w:p>
        </w:tc>
      </w:tr>
    </w:tbl>
    <w:p>
      <w:pPr>
        <w:spacing w:before="80" w:after="80"/>
      </w:pPr>
    </w:p>
    <w:p>
      <w:pPr>
        <w:spacing w:before="200" w:after="120"/>
      </w:pPr>
      <w:r>
        <w:rPr>
          <w:rFonts w:ascii="Arial" w:cs="Arial" w:eastAsia="Arial" w:hAnsi="Arial"/>
          <w:b/>
          <w:bCs/>
          <w:color w:val="2C3E50"/>
          <w:sz w:val="22"/>
          <w:szCs w:val="22"/>
        </w:rPr>
        <w:t xml:space="preserve">Standard Cost vs. Actual Cost Variance</w:t>
      </w:r>
    </w:p>
    <w:p>
      <w:pPr>
        <w:spacing w:before="80" w:after="80"/>
        <w:jc w:val="both"/>
      </w:pPr>
      <w:r>
        <w:rPr>
          <w:rFonts w:ascii="Arial" w:cs="Arial" w:eastAsia="Arial" w:hAnsi="Arial"/>
          <w:color w:val="2C3E50"/>
          <w:sz w:val="20"/>
          <w:szCs w:val="20"/>
        </w:rPr>
        <w:t xml:space="preserve">When standard (budget) unit costs are used instead of actual costs, a variance arises that must be reconciled:</w:t>
      </w:r>
    </w:p>
    <w:p>
      <w:pPr>
        <w:shd w:fill="F2F4F4" w:val="clear"/>
        <w:spacing w:before="40" w:after="40"/>
        <w:ind w:left="360"/>
      </w:pPr>
      <w:r>
        <w:rPr>
          <w:rFonts w:ascii="Courier New" w:cs="Courier New" w:eastAsia="Courier New" w:hAnsi="Courier New"/>
          <w:color w:val="2C3E50"/>
          <w:sz w:val="18"/>
          <w:szCs w:val="18"/>
        </w:rPr>
        <w:t xml:space="preserve">Total ATM Cost from GL:         PKR 45,000,000</w:t>
      </w:r>
    </w:p>
    <w:p>
      <w:pPr>
        <w:shd w:fill="F2F4F4" w:val="clear"/>
        <w:spacing w:before="40" w:after="40"/>
        <w:ind w:left="360"/>
      </w:pPr>
      <w:r>
        <w:rPr>
          <w:rFonts w:ascii="Courier New" w:cs="Courier New" w:eastAsia="Courier New" w:hAnsi="Courier New"/>
          <w:color w:val="2C3E50"/>
          <w:sz w:val="18"/>
          <w:szCs w:val="18"/>
        </w:rPr>
        <w:t xml:space="preserve">Total Standard Cost Assigned:</w:t>
      </w:r>
    </w:p>
    <w:p>
      <w:pPr>
        <w:shd w:fill="F2F4F4" w:val="clear"/>
        <w:spacing w:before="40" w:after="40"/>
        <w:ind w:left="360"/>
      </w:pPr>
      <w:r>
        <w:rPr>
          <w:rFonts w:ascii="Courier New" w:cs="Courier New" w:eastAsia="Courier New" w:hAnsi="Courier New"/>
          <w:color w:val="2C3E50"/>
          <w:sz w:val="18"/>
          <w:szCs w:val="18"/>
        </w:rPr>
        <w:t xml:space="preserve">  (15M txns x PKR 2.80 budget)= PKR 42,000,000</w:t>
      </w:r>
    </w:p>
    <w:p>
      <w:pPr>
        <w:shd w:fill="F2F4F4" w:val="clear"/>
        <w:spacing w:before="40" w:after="40"/>
        <w:ind w:left="360"/>
      </w:pPr>
      <w:r>
        <w:rPr>
          <w:rFonts w:ascii="Courier New" w:cs="Courier New" w:eastAsia="Courier New" w:hAnsi="Courier New"/>
          <w:color w:val="2C3E50"/>
          <w:sz w:val="18"/>
          <w:szCs w:val="18"/>
        </w:rPr>
        <w:t xml:space="preserve">Variance (unfavorable):          PKR  3,000,000</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Variance treatment options:</w:t>
      </w:r>
    </w:p>
    <w:p>
      <w:pPr>
        <w:shd w:fill="F2F4F4" w:val="clear"/>
        <w:spacing w:before="40" w:after="40"/>
        <w:ind w:left="360"/>
      </w:pPr>
      <w:r>
        <w:rPr>
          <w:rFonts w:ascii="Courier New" w:cs="Courier New" w:eastAsia="Courier New" w:hAnsi="Courier New"/>
          <w:color w:val="2C3E50"/>
          <w:sz w:val="18"/>
          <w:szCs w:val="18"/>
        </w:rPr>
        <w:t xml:space="preserve">  (a) Allocate as overhead to all customers proportionally</w:t>
      </w:r>
    </w:p>
    <w:p>
      <w:pPr>
        <w:shd w:fill="F2F4F4" w:val="clear"/>
        <w:spacing w:before="40" w:after="40"/>
        <w:ind w:left="360"/>
      </w:pPr>
      <w:r>
        <w:rPr>
          <w:rFonts w:ascii="Courier New" w:cs="Courier New" w:eastAsia="Courier New" w:hAnsi="Courier New"/>
          <w:color w:val="2C3E50"/>
          <w:sz w:val="18"/>
          <w:szCs w:val="18"/>
        </w:rPr>
        <w:t xml:space="preserve">  (b) Absorb at department level, report separately</w:t>
      </w:r>
    </w:p>
    <w:p>
      <w:pPr>
        <w:shd w:fill="F2F4F4" w:val="clear"/>
        <w:spacing w:before="40" w:after="40"/>
        <w:ind w:left="360"/>
      </w:pPr>
      <w:r>
        <w:rPr>
          <w:rFonts w:ascii="Courier New" w:cs="Courier New" w:eastAsia="Courier New" w:hAnsi="Courier New"/>
          <w:color w:val="2C3E50"/>
          <w:sz w:val="18"/>
          <w:szCs w:val="18"/>
        </w:rPr>
        <w:t xml:space="preserve">  TVA reconciliation adjustment layer handles this</w:t>
      </w:r>
    </w:p>
    <w:p>
      <w:pPr>
        <w:spacing w:before="80" w:after="80"/>
      </w:pPr>
    </w:p>
    <w:p>
      <w:pPr>
        <w:spacing w:before="200" w:after="120"/>
      </w:pPr>
      <w:r>
        <w:rPr>
          <w:rFonts w:ascii="Arial" w:cs="Arial" w:eastAsia="Arial" w:hAnsi="Arial"/>
          <w:b/>
          <w:bCs/>
          <w:color w:val="2C3E50"/>
          <w:sz w:val="22"/>
          <w:szCs w:val="22"/>
        </w:rPr>
        <w:t xml:space="preserve">4.5.3 Layer 3: Indirect Costs (Allocated via Drivers)</w:t>
      </w:r>
    </w:p>
    <w:p>
      <w:pPr>
        <w:spacing w:before="80" w:after="80"/>
        <w:jc w:val="both"/>
      </w:pPr>
      <w:r>
        <w:rPr>
          <w:rFonts w:ascii="Arial" w:cs="Arial" w:eastAsia="Arial" w:hAnsi="Arial"/>
          <w:color w:val="2C3E50"/>
          <w:sz w:val="20"/>
          <w:szCs w:val="20"/>
        </w:rPr>
        <w:t xml:space="preserve">These costs don't have a direct customer relationship. They belong to support functions, shared services, and overhead. They need allocation drivers to push down to customer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Department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GL Cost</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Allocation Driver</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Allocated To</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IT Department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350M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 applications/servers per product line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Products -&gt; Customers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HR Department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120M</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Headcount per department</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Other departments -&gt; cascade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Finance/Accounts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80M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 GL transactions per product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Products/Branches -&gt; Customers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Compliance/AML</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95M</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 accounts monitored per product</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Products -&gt; Customers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Risk Management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65M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 accounts per risk grade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Risk pools -&gt; Customers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Marketing</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140M</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Campaign-level: targeted=direct, mass=per segment</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Direct or Allocated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Legal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45M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 contracts/agreements per product type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Products -&gt; Customers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Premises/Facilities</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200M</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Square footage per branch</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Branches -&gt; Customers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Senior Management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PKR 85M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Revenue contribution per business line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Business lines -&gt; Customers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Card Operations (CTL)</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PKR 110M</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 active cards per card type</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Card products -&gt; Customers</w:t>
            </w:r>
          </w:p>
        </w:tc>
      </w:tr>
    </w:tbl>
    <w:p>
      <w:pPr>
        <w:spacing w:before="80" w:after="80"/>
      </w:pPr>
    </w:p>
    <w:p>
      <w:pPr>
        <w:spacing w:before="200" w:after="120"/>
      </w:pPr>
      <w:r>
        <w:rPr>
          <w:rFonts w:ascii="Arial" w:cs="Arial" w:eastAsia="Arial" w:hAnsi="Arial"/>
          <w:b/>
          <w:bCs/>
          <w:color w:val="2C3E50"/>
          <w:sz w:val="22"/>
          <w:szCs w:val="22"/>
        </w:rPr>
        <w:t xml:space="preserve">4.5.4 The Allocation Waterfall - Step-Down Method</w:t>
      </w:r>
    </w:p>
    <w:p>
      <w:pPr>
        <w:spacing w:before="80" w:after="80"/>
        <w:jc w:val="both"/>
      </w:pPr>
      <w:r>
        <w:rPr>
          <w:rFonts w:ascii="Arial" w:cs="Arial" w:eastAsia="Arial" w:hAnsi="Arial"/>
          <w:color w:val="2C3E50"/>
          <w:sz w:val="20"/>
          <w:szCs w:val="20"/>
        </w:rPr>
        <w:t xml:space="preserve">The allocation waterfall pushes costs from support departments through revenue-generating departments to products and finally to customers:</w:t>
      </w:r>
    </w:p>
    <w:p>
      <w:pPr>
        <w:shd w:fill="F2F4F4" w:val="clear"/>
        <w:spacing w:before="40" w:after="40"/>
        <w:ind w:left="360"/>
      </w:pPr>
      <w:r>
        <w:rPr>
          <w:rFonts w:ascii="Courier New" w:cs="Courier New" w:eastAsia="Courier New" w:hAnsi="Courier New"/>
          <w:color w:val="2C3E50"/>
          <w:sz w:val="18"/>
          <w:szCs w:val="18"/>
        </w:rPr>
        <w:t xml:space="preserve">Step 1: GL EXTRACTION</w:t>
      </w:r>
    </w:p>
    <w:p>
      <w:pPr>
        <w:shd w:fill="F2F4F4" w:val="clear"/>
        <w:spacing w:before="40" w:after="40"/>
        <w:ind w:left="360"/>
      </w:pPr>
      <w:r>
        <w:rPr>
          <w:rFonts w:ascii="Courier New" w:cs="Courier New" w:eastAsia="Courier New" w:hAnsi="Courier New"/>
          <w:color w:val="2C3E50"/>
          <w:sz w:val="18"/>
          <w:szCs w:val="18"/>
        </w:rPr>
        <w:t xml:space="preserve">  Pull all cost center expenses from GL (calendar month)</w:t>
      </w:r>
    </w:p>
    <w:p>
      <w:pPr>
        <w:shd w:fill="F2F4F4" w:val="clear"/>
        <w:spacing w:before="40" w:after="40"/>
        <w:ind w:left="360"/>
      </w:pPr>
      <w:r>
        <w:rPr>
          <w:rFonts w:ascii="Courier New" w:cs="Courier New" w:eastAsia="Courier New" w:hAnsi="Courier New"/>
          <w:color w:val="2C3E50"/>
          <w:sz w:val="18"/>
          <w:szCs w:val="18"/>
        </w:rPr>
        <w:t xml:space="preserve">  Granularity: Cost Center x COA x Amount</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Step 2: SUPPORT-TO-SUPPORT ALLOCATION (Step-Down)</w:t>
      </w:r>
    </w:p>
    <w:p>
      <w:pPr>
        <w:shd w:fill="F2F4F4" w:val="clear"/>
        <w:spacing w:before="40" w:after="40"/>
        <w:ind w:left="360"/>
      </w:pPr>
      <w:r>
        <w:rPr>
          <w:rFonts w:ascii="Courier New" w:cs="Courier New" w:eastAsia="Courier New" w:hAnsi="Courier New"/>
          <w:color w:val="2C3E50"/>
          <w:sz w:val="18"/>
          <w:szCs w:val="18"/>
        </w:rPr>
        <w:t xml:space="preserve">  HR cost -&gt; distributed to all depts by headcount</w:t>
      </w:r>
    </w:p>
    <w:p>
      <w:pPr>
        <w:shd w:fill="F2F4F4" w:val="clear"/>
        <w:spacing w:before="40" w:after="40"/>
        <w:ind w:left="360"/>
      </w:pPr>
      <w:r>
        <w:rPr>
          <w:rFonts w:ascii="Courier New" w:cs="Courier New" w:eastAsia="Courier New" w:hAnsi="Courier New"/>
          <w:color w:val="2C3E50"/>
          <w:sz w:val="18"/>
          <w:szCs w:val="18"/>
        </w:rPr>
        <w:t xml:space="preserve">  IT cost (+ HR received) -&gt; distributed by server/app count</w:t>
      </w:r>
    </w:p>
    <w:p>
      <w:pPr>
        <w:shd w:fill="F2F4F4" w:val="clear"/>
        <w:spacing w:before="40" w:after="40"/>
        <w:ind w:left="360"/>
      </w:pPr>
      <w:r>
        <w:rPr>
          <w:rFonts w:ascii="Courier New" w:cs="Courier New" w:eastAsia="Courier New" w:hAnsi="Courier New"/>
          <w:color w:val="2C3E50"/>
          <w:sz w:val="18"/>
          <w:szCs w:val="18"/>
        </w:rPr>
        <w:t xml:space="preserve">  Finance (+ HR + IT received) -&gt; distributed by GL txns</w:t>
      </w:r>
    </w:p>
    <w:p>
      <w:pPr>
        <w:shd w:fill="F2F4F4" w:val="clear"/>
        <w:spacing w:before="40" w:after="40"/>
        <w:ind w:left="360"/>
      </w:pPr>
      <w:r>
        <w:rPr>
          <w:rFonts w:ascii="Courier New" w:cs="Courier New" w:eastAsia="Courier New" w:hAnsi="Courier New"/>
          <w:color w:val="2C3E50"/>
          <w:sz w:val="18"/>
          <w:szCs w:val="18"/>
        </w:rPr>
        <w:t xml:space="preserve">  Premises (+ all above) -&gt; distributed by sq footage</w:t>
      </w:r>
    </w:p>
    <w:p>
      <w:pPr>
        <w:shd w:fill="F2F4F4" w:val="clear"/>
        <w:spacing w:before="40" w:after="40"/>
        <w:ind w:left="360"/>
      </w:pPr>
      <w:r>
        <w:rPr>
          <w:rFonts w:ascii="Courier New" w:cs="Courier New" w:eastAsia="Courier New" w:hAnsi="Courier New"/>
          <w:color w:val="2C3E50"/>
          <w:sz w:val="18"/>
          <w:szCs w:val="18"/>
        </w:rPr>
        <w:t xml:space="preserve">  Result: ALL costs sit on revenue-generating departments</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Step 3: DEPARTMENT-TO-PRODUCT ALLOCATION</w:t>
      </w:r>
    </w:p>
    <w:p>
      <w:pPr>
        <w:shd w:fill="F2F4F4" w:val="clear"/>
        <w:spacing w:before="40" w:after="40"/>
        <w:ind w:left="360"/>
      </w:pPr>
      <w:r>
        <w:rPr>
          <w:rFonts w:ascii="Courier New" w:cs="Courier New" w:eastAsia="Courier New" w:hAnsi="Courier New"/>
          <w:color w:val="2C3E50"/>
          <w:sz w:val="18"/>
          <w:szCs w:val="18"/>
        </w:rPr>
        <w:t xml:space="preserve">  Card Operations -&gt; Visa Credit, MC Credit, Visa Debit, Prepaid</w:t>
      </w:r>
    </w:p>
    <w:p>
      <w:pPr>
        <w:shd w:fill="F2F4F4" w:val="clear"/>
        <w:spacing w:before="40" w:after="40"/>
        <w:ind w:left="360"/>
      </w:pPr>
      <w:r>
        <w:rPr>
          <w:rFonts w:ascii="Courier New" w:cs="Courier New" w:eastAsia="Courier New" w:hAnsi="Courier New"/>
          <w:color w:val="2C3E50"/>
          <w:sz w:val="18"/>
          <w:szCs w:val="18"/>
        </w:rPr>
        <w:t xml:space="preserve">  Branch Operations -&gt; Savings, Current, Loans, Cards (by txn count)</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Step 4: PRODUCT-TO-ACCOUNT ALLOCATION</w:t>
      </w:r>
    </w:p>
    <w:p>
      <w:pPr>
        <w:shd w:fill="F2F4F4" w:val="clear"/>
        <w:spacing w:before="40" w:after="40"/>
        <w:ind w:left="360"/>
      </w:pPr>
      <w:r>
        <w:rPr>
          <w:rFonts w:ascii="Courier New" w:cs="Courier New" w:eastAsia="Courier New" w:hAnsi="Courier New"/>
          <w:color w:val="2C3E50"/>
          <w:sz w:val="18"/>
          <w:szCs w:val="18"/>
        </w:rPr>
        <w:t xml:space="preserve">  Weighted drivers: 40% by balance, 30% by txn count,</w:t>
      </w:r>
    </w:p>
    <w:p>
      <w:pPr>
        <w:shd w:fill="F2F4F4" w:val="clear"/>
        <w:spacing w:before="40" w:after="40"/>
        <w:ind w:left="360"/>
      </w:pPr>
      <w:r>
        <w:rPr>
          <w:rFonts w:ascii="Courier New" w:cs="Courier New" w:eastAsia="Courier New" w:hAnsi="Courier New"/>
          <w:color w:val="2C3E50"/>
          <w:sz w:val="18"/>
          <w:szCs w:val="18"/>
        </w:rPr>
        <w:t xml:space="preserve">  20% by service interactions, 10% equal per account</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Step 5: ACCOUNT-TO-CUSTOMER ROLL-UP</w:t>
      </w:r>
    </w:p>
    <w:p>
      <w:pPr>
        <w:shd w:fill="F2F4F4" w:val="clear"/>
        <w:spacing w:before="40" w:after="40"/>
        <w:ind w:left="360"/>
      </w:pPr>
      <w:r>
        <w:rPr>
          <w:rFonts w:ascii="Courier New" w:cs="Courier New" w:eastAsia="Courier New" w:hAnsi="Courier New"/>
          <w:color w:val="2C3E50"/>
          <w:sz w:val="18"/>
          <w:szCs w:val="18"/>
        </w:rPr>
        <w:t xml:space="preserve">  Sum all account-level costs per customer</w:t>
      </w:r>
    </w:p>
    <w:p>
      <w:pPr>
        <w:spacing w:before="80" w:after="80"/>
      </w:pPr>
    </w:p>
    <w:p>
      <w:pPr>
        <w:pStyle w:val="Heading2"/>
        <w:spacing w:before="280" w:after="160"/>
      </w:pPr>
      <w:r>
        <w:rPr>
          <w:rFonts w:ascii="Arial" w:cs="Arial" w:eastAsia="Arial" w:hAnsi="Arial"/>
          <w:b/>
          <w:bCs/>
          <w:color w:val="2E86C1"/>
          <w:sz w:val="26"/>
          <w:szCs w:val="26"/>
        </w:rPr>
        <w:t xml:space="preserve">4.6 GL Reconciliation Framework</w:t>
      </w:r>
    </w:p>
    <w:p>
      <w:pPr>
        <w:spacing w:before="80" w:after="80"/>
        <w:jc w:val="both"/>
      </w:pPr>
      <w:r>
        <w:rPr>
          <w:rFonts w:ascii="Arial" w:cs="Arial" w:eastAsia="Arial" w:hAnsi="Arial"/>
          <w:color w:val="2C3E50"/>
          <w:sz w:val="20"/>
          <w:szCs w:val="20"/>
        </w:rPr>
        <w:t xml:space="preserve">Every step must reconcile - this is what gives TVA its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Check</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Reconciles</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Tolerance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Revenue Reconciliation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GL Total Interest Income = Sum of all account interest in TVA</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 PKR 0 (exact)</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FTP Reconciliation</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Total FTP Charges (Assets) = Total FTP Credits (Liabilities)</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 rounding (&lt;PKR 1000)</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Direct Cost Reconciliation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GL Card Production Expense = Sum of all card-level costs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 PKR 0 (exact)</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Unit Cost Reconciliation</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GL Expense = Sum(unit cost x volume) + variance</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Variance &lt; 5% of total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Indirect Cost Reconciliation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Total GL Expense = Total allocated to all customers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Conservation: Total in = Total out</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Net Profit Reconciliation</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GL Net Profit = Sum(all customer net profits) + unallocated</w:t>
            </w:r>
          </w:p>
        </w:tc>
        <w:tc>
          <w:tcPr>
            <w:tcW w:type="dxa" w:w="2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Exact match</w:t>
            </w:r>
          </w:p>
        </w:tc>
      </w:tr>
    </w:tbl>
    <w:p>
      <w:pPr>
        <w:spacing w:before="80" w:after="80"/>
      </w:pPr>
    </w:p>
    <w:p>
      <w:pPr>
        <w:pStyle w:val="Heading2"/>
        <w:spacing w:before="280" w:after="160"/>
      </w:pPr>
      <w:r>
        <w:rPr>
          <w:rFonts w:ascii="Arial" w:cs="Arial" w:eastAsia="Arial" w:hAnsi="Arial"/>
          <w:b/>
          <w:bCs/>
          <w:color w:val="2E86C1"/>
          <w:sz w:val="26"/>
          <w:szCs w:val="26"/>
        </w:rPr>
        <w:t xml:space="preserve">4.7 Cycle Cut Normalization for Profitability</w:t>
      </w:r>
    </w:p>
    <w:p>
      <w:pPr>
        <w:spacing w:before="80" w:after="80"/>
        <w:jc w:val="both"/>
      </w:pPr>
      <w:r>
        <w:rPr>
          <w:rFonts w:ascii="Arial" w:cs="Arial" w:eastAsia="Arial" w:hAnsi="Arial"/>
          <w:color w:val="2C3E50"/>
          <w:sz w:val="20"/>
          <w:szCs w:val="20"/>
        </w:rPr>
        <w:t xml:space="preserve">The key insight for the profitability engine dealing with different billing cycle dates: profitability is calculated on a CALENDAR MONTH basis using daily accruals, not on statement dates.</w:t>
      </w:r>
    </w:p>
    <w:p>
      <w:pPr>
        <w:shd w:fill="F2F4F4" w:val="clear"/>
        <w:spacing w:before="40" w:after="40"/>
        <w:ind w:left="360"/>
      </w:pPr>
      <w:r>
        <w:rPr>
          <w:rFonts w:ascii="Courier New" w:cs="Courier New" w:eastAsia="Courier New" w:hAnsi="Courier New"/>
          <w:color w:val="2C3E50"/>
          <w:sz w:val="18"/>
          <w:szCs w:val="18"/>
        </w:rPr>
        <w:t xml:space="preserve">Calendar Month (January):</w:t>
      </w:r>
    </w:p>
    <w:p>
      <w:pPr>
        <w:shd w:fill="F2F4F4" w:val="clear"/>
        <w:spacing w:before="40" w:after="40"/>
        <w:ind w:left="360"/>
      </w:pPr>
      <w:r>
        <w:rPr>
          <w:rFonts w:ascii="Courier New" w:cs="Courier New" w:eastAsia="Courier New" w:hAnsi="Courier New"/>
          <w:color w:val="2C3E50"/>
          <w:sz w:val="18"/>
          <w:szCs w:val="18"/>
        </w:rPr>
        <w:t xml:space="preserve">  Account A: Cycle cut on 5th</w:t>
      </w:r>
    </w:p>
    <w:p>
      <w:pPr>
        <w:shd w:fill="F2F4F4" w:val="clear"/>
        <w:spacing w:before="40" w:after="40"/>
        <w:ind w:left="360"/>
      </w:pPr>
      <w:r>
        <w:rPr>
          <w:rFonts w:ascii="Courier New" w:cs="Courier New" w:eastAsia="Courier New" w:hAnsi="Courier New"/>
          <w:color w:val="2C3E50"/>
          <w:sz w:val="18"/>
          <w:szCs w:val="18"/>
        </w:rPr>
        <w:t xml:space="preserve">    Jan 1-5: uses December statement balance</w:t>
      </w:r>
    </w:p>
    <w:p>
      <w:pPr>
        <w:shd w:fill="F2F4F4" w:val="clear"/>
        <w:spacing w:before="40" w:after="40"/>
        <w:ind w:left="360"/>
      </w:pPr>
      <w:r>
        <w:rPr>
          <w:rFonts w:ascii="Courier New" w:cs="Courier New" w:eastAsia="Courier New" w:hAnsi="Courier New"/>
          <w:color w:val="2C3E50"/>
          <w:sz w:val="18"/>
          <w:szCs w:val="18"/>
        </w:rPr>
        <w:t xml:space="preserve">    Jan 5-31: uses January statement balance</w:t>
      </w:r>
    </w:p>
    <w:p>
      <w:pPr>
        <w:shd w:fill="F2F4F4" w:val="clear"/>
        <w:spacing w:before="40" w:after="40"/>
        <w:ind w:left="360"/>
      </w:pPr>
      <w:r>
        <w:rPr>
          <w:rFonts w:ascii="Courier New" w:cs="Courier New" w:eastAsia="Courier New" w:hAnsi="Courier New"/>
          <w:color w:val="2C3E50"/>
          <w:sz w:val="18"/>
          <w:szCs w:val="18"/>
        </w:rPr>
        <w:t xml:space="preserve">    Daily average computed across full January</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  Account B: Cycle cut on 20th</w:t>
      </w:r>
    </w:p>
    <w:p>
      <w:pPr>
        <w:shd w:fill="F2F4F4" w:val="clear"/>
        <w:spacing w:before="40" w:after="40"/>
        <w:ind w:left="360"/>
      </w:pPr>
      <w:r>
        <w:rPr>
          <w:rFonts w:ascii="Courier New" w:cs="Courier New" w:eastAsia="Courier New" w:hAnsi="Courier New"/>
          <w:color w:val="2C3E50"/>
          <w:sz w:val="18"/>
          <w:szCs w:val="18"/>
        </w:rPr>
        <w:t xml:space="preserve">    Jan 1-20: uses December statement balance</w:t>
      </w:r>
    </w:p>
    <w:p>
      <w:pPr>
        <w:shd w:fill="F2F4F4" w:val="clear"/>
        <w:spacing w:before="40" w:after="40"/>
        <w:ind w:left="360"/>
      </w:pPr>
      <w:r>
        <w:rPr>
          <w:rFonts w:ascii="Courier New" w:cs="Courier New" w:eastAsia="Courier New" w:hAnsi="Courier New"/>
          <w:color w:val="2C3E50"/>
          <w:sz w:val="18"/>
          <w:szCs w:val="18"/>
        </w:rPr>
        <w:t xml:space="preserve">    Jan 20-31: uses January statement balance</w:t>
      </w:r>
    </w:p>
    <w:p>
      <w:pPr>
        <w:shd w:fill="F2F4F4" w:val="clear"/>
        <w:spacing w:before="40" w:after="40"/>
        <w:ind w:left="360"/>
      </w:pPr>
      <w:r>
        <w:rPr>
          <w:rFonts w:ascii="Courier New" w:cs="Courier New" w:eastAsia="Courier New" w:hAnsi="Courier New"/>
          <w:color w:val="2C3E50"/>
          <w:sz w:val="18"/>
          <w:szCs w:val="18"/>
        </w:rPr>
        <w:t xml:space="preserve">    Daily average computed across full January</w:t>
      </w:r>
    </w:p>
    <w:p>
      <w:pPr>
        <w:shd w:fill="F2F4F4" w:val="clear"/>
        <w:spacing w:before="40" w:after="40"/>
        <w:ind w:left="360"/>
      </w:pPr>
      <w:r>
        <w:rPr>
          <w:rFonts w:ascii="Courier New" w:cs="Courier New" w:eastAsia="Courier New" w:hAnsi="Courier New"/>
          <w:color w:val="2C3E50"/>
          <w:sz w:val="18"/>
          <w:szCs w:val="18"/>
        </w:rPr>
        <w:t xml:space="preserve"/>
      </w:r>
    </w:p>
    <w:p>
      <w:pPr>
        <w:shd w:fill="F2F4F4" w:val="clear"/>
        <w:spacing w:before="40" w:after="40"/>
        <w:ind w:left="360"/>
      </w:pPr>
      <w:r>
        <w:rPr>
          <w:rFonts w:ascii="Courier New" w:cs="Courier New" w:eastAsia="Courier New" w:hAnsi="Courier New"/>
          <w:color w:val="2C3E50"/>
          <w:sz w:val="18"/>
          <w:szCs w:val="18"/>
        </w:rPr>
        <w:t xml:space="preserve">  All accounts become COMPARABLE on calendar month basis</w:t>
      </w:r>
    </w:p>
    <w:p>
      <w:pPr>
        <w:shd w:fill="F2F4F4" w:val="clear"/>
        <w:spacing w:before="40" w:after="40"/>
        <w:ind w:left="360"/>
      </w:pPr>
      <w:r>
        <w:rPr>
          <w:rFonts w:ascii="Courier New" w:cs="Courier New" w:eastAsia="Courier New" w:hAnsi="Courier New"/>
          <w:color w:val="2C3E50"/>
          <w:sz w:val="18"/>
          <w:szCs w:val="18"/>
        </w:rPr>
        <w:t xml:space="preserve">  despite having different cycle cut dates.</w:t>
      </w:r>
    </w:p>
    <w:p>
      <w:pPr>
        <w:spacing w:before="80" w:after="80"/>
      </w:pPr>
    </w:p>
    <w:p>
      <w:pPr>
        <w:spacing w:before="80" w:after="80"/>
        <w:jc w:val="both"/>
      </w:pPr>
      <w:r>
        <w:rPr>
          <w:rFonts w:ascii="Arial" w:cs="Arial" w:eastAsia="Arial" w:hAnsi="Arial"/>
          <w:color w:val="2C3E50"/>
          <w:sz w:val="20"/>
          <w:szCs w:val="20"/>
        </w:rPr>
        <w:t xml:space="preserve">The daily balance snapshot from CTL feeds FSDM balance tables. Each day's balance, broken by balance type, mapped to COA, provides the foundation for accurate profitability regardless of cycle timing.</w:t>
      </w:r>
    </w:p>
    <w:p>
      <w:pPr>
        <w:pStyle w:val="Heading2"/>
        <w:spacing w:before="280" w:after="160"/>
      </w:pPr>
      <w:r>
        <w:rPr>
          <w:rFonts w:ascii="Arial" w:cs="Arial" w:eastAsia="Arial" w:hAnsi="Arial"/>
          <w:b/>
          <w:bCs/>
          <w:color w:val="2E86C1"/>
          <w:sz w:val="26"/>
          <w:szCs w:val="26"/>
        </w:rPr>
        <w:t xml:space="preserve">4.8 TVA Output - The Multi-Dimensional Profitability Cube</w:t>
      </w:r>
    </w:p>
    <w:p>
      <w:pPr>
        <w:spacing w:before="80" w:after="80"/>
        <w:jc w:val="both"/>
      </w:pPr>
      <w:r>
        <w:rPr>
          <w:rFonts w:ascii="Arial" w:cs="Arial" w:eastAsia="Arial" w:hAnsi="Arial"/>
          <w:color w:val="2C3E50"/>
          <w:sz w:val="20"/>
          <w:szCs w:val="20"/>
        </w:rPr>
        <w:t xml:space="preserve">The final TVA output produces a profitability cube that can be queried across all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Measure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Definition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Interest/Markup Revenue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Earned from card balances, loans, by balance type</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Fee Revenue</w:t>
            </w:r>
          </w:p>
        </w:tc>
        <w:tc>
          <w:tcPr>
            <w:tcW w:type="dxa" w:w="6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All fee types: annual, late, overlimit, cash advance, FX, service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Interchange Revenue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Issuer share of merchant discount, by MCC category</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FTP Charge/Credit</w:t>
            </w:r>
          </w:p>
        </w:tc>
        <w:tc>
          <w:tcPr>
            <w:tcW w:type="dxa" w:w="6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Internal cost of funds or imputed deposit revenue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Net Interest Margin</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Revenue minus FTP = net spread earned</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Direct Cost</w:t>
            </w:r>
          </w:p>
        </w:tc>
        <w:tc>
          <w:tcPr>
            <w:tcW w:type="dxa" w:w="6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Directly attributable costs per account/customer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Unit/Activity Cost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ABC-based costs from channel usage, service interactions</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Indirect/Allocated Cost</w:t>
            </w:r>
          </w:p>
        </w:tc>
        <w:tc>
          <w:tcPr>
            <w:tcW w:type="dxa" w:w="6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Overhead pushed through allocation waterfall</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Provision Cost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IFRS 9 ECL or aging-based provision expense</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Net Profit/Loss</w:t>
            </w:r>
          </w:p>
        </w:tc>
        <w:tc>
          <w:tcPr>
            <w:tcW w:type="dxa" w:w="6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Total revenue minus total cost per customer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ROA</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Net profit / average asset balance</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Cost-to-Income Ratio</w:t>
            </w:r>
          </w:p>
        </w:tc>
        <w:tc>
          <w:tcPr>
            <w:tcW w:type="dxa" w:w="6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Total cost / total revenue</w:t>
            </w:r>
          </w:p>
        </w:tc>
      </w:tr>
    </w:tbl>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5. UBL Technology Evolution: 2017 - 2025</w:t>
      </w:r>
    </w:p>
    <w:p>
      <w:pPr>
        <w:pStyle w:val="Heading2"/>
        <w:spacing w:before="280" w:after="160"/>
      </w:pPr>
      <w:r>
        <w:rPr>
          <w:rFonts w:ascii="Arial" w:cs="Arial" w:eastAsia="Arial" w:hAnsi="Arial"/>
          <w:b/>
          <w:bCs/>
          <w:color w:val="2E86C1"/>
          <w:sz w:val="26"/>
          <w:szCs w:val="26"/>
        </w:rPr>
        <w:t xml:space="preserve">5.1 Timeline of Major Technology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Year</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Event</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Impact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2017</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CTL/PRIME implementation completed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 management backbone established</w:t>
            </w:r>
          </w:p>
        </w:tc>
      </w:tr>
      <w:tr>
        <w:tc>
          <w:tcPr>
            <w:tcW w:type="dxa" w:w="1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2018</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TSYS PRIME Mobile Banking APIs (innovation award)</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API-first card operations enabled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2021</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Temenos Infinity signed with NdcTech</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 transformation across all channels</w:t>
            </w:r>
          </w:p>
        </w:tc>
      </w:tr>
      <w:tr>
        <w:tc>
          <w:tcPr>
            <w:tcW w:type="dxa" w:w="1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2021</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UBL Pay launched (phone as debit card)</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First-in-Pakistan mobile payment innovation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2021</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Pakistan's first Islamic Digital Account</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Islamic banking digitized</w:t>
            </w:r>
          </w:p>
        </w:tc>
      </w:tr>
      <w:tr>
        <w:tc>
          <w:tcPr>
            <w:tcW w:type="dxa" w:w="1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2021</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RAAST instant payments go-live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Real-time P2P transfers via mobile number</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~2022</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Cloudera CDP implemented with Blutech</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Data lakehouse alongside Teradata</w:t>
            </w:r>
          </w:p>
        </w:tc>
      </w:tr>
      <w:tr>
        <w:tc>
          <w:tcPr>
            <w:tcW w:type="dxa" w:w="1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2023</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Temenos Corporate Lending go-live</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Digital loan origination for 5 corporate segments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2024</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Mastercard partnership renewed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Multi-year debit card issuance, digital payments focus</w:t>
            </w:r>
          </w:p>
        </w:tc>
      </w:tr>
      <w:tr>
        <w:tc>
          <w:tcPr>
            <w:tcW w:type="dxa" w:w="1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2024</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Silkbank merger agreement signed</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Customer base and asset portfolio expansion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2025 Mar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Silkbank merger effective (SBP sanctioned)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Full integration begins</w:t>
            </w:r>
          </w:p>
        </w:tc>
      </w:tr>
      <w:tr>
        <w:tc>
          <w:tcPr>
            <w:tcW w:type="dxa" w:w="1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2025 Aug</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Silkbank NetBanking discontinued</w:t>
            </w:r>
          </w:p>
        </w:tc>
        <w:tc>
          <w:tcPr>
            <w:tcW w:type="dxa" w:w="3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Customers migrated to UBL Digital App</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2025 Dec</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Silkbank debit cards cease operation</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New UBL cards issued to all former Silkbank customers</w:t>
            </w:r>
          </w:p>
        </w:tc>
      </w:tr>
    </w:tbl>
    <w:p>
      <w:pPr>
        <w:spacing w:before="80" w:after="80"/>
      </w:pPr>
    </w:p>
    <w:p>
      <w:pPr>
        <w:pStyle w:val="Heading2"/>
        <w:spacing w:before="280" w:after="160"/>
      </w:pPr>
      <w:r>
        <w:rPr>
          <w:rFonts w:ascii="Arial" w:cs="Arial" w:eastAsia="Arial" w:hAnsi="Arial"/>
          <w:b/>
          <w:bCs/>
          <w:color w:val="2E86C1"/>
          <w:sz w:val="26"/>
          <w:szCs w:val="26"/>
        </w:rPr>
        <w:t xml:space="preserve">5.2 Digital Banking Layer: Temenos Infinity</w:t>
      </w:r>
    </w:p>
    <w:p>
      <w:pPr>
        <w:spacing w:before="80" w:after="80"/>
        <w:jc w:val="both"/>
      </w:pPr>
      <w:r>
        <w:rPr>
          <w:rFonts w:ascii="Arial" w:cs="Arial" w:eastAsia="Arial" w:hAnsi="Arial"/>
          <w:color w:val="2C3E50"/>
          <w:sz w:val="20"/>
          <w:szCs w:val="20"/>
        </w:rPr>
        <w:t xml:space="preserve">UBL signed with Temenos and NdcTech in mid-2021 to implement Temenos Infinity as the digital engagement layer. This is NOT a core banking replacement - it sits on top of the existing core banking and card management systems, providing omnichannel digital experiences.</w:t>
      </w:r>
    </w:p>
    <w:p>
      <w:pPr>
        <w:spacing w:before="80" w:after="80"/>
        <w:jc w:val="both"/>
      </w:pPr>
      <w:r>
        <w:rPr>
          <w:rFonts w:ascii="Arial" w:cs="Arial" w:eastAsia="Arial" w:hAnsi="Arial"/>
          <w:color w:val="2C3E50"/>
          <w:sz w:val="20"/>
          <w:szCs w:val="20"/>
        </w:rPr>
        <w:t xml:space="preserve">Temenos Infinity covers the entire customer lifecycle: digital account opening (Asaan Digital Account), deposit and loan originations, card management (lock/unlock, order new cards), bill payments, RAAST integration, and digital servicing. By May 2023, UBL went live with Corporate Lending on Temenos, covering conventional corporates, Islamic corporates, Agri enterprises, Financial Institutions, and SMEs.</w:t>
      </w:r>
    </w:p>
    <w:p>
      <w:pPr>
        <w:spacing w:before="200" w:after="120"/>
      </w:pPr>
      <w:r>
        <w:rPr>
          <w:rFonts w:ascii="Arial" w:cs="Arial" w:eastAsia="Arial" w:hAnsi="Arial"/>
          <w:b/>
          <w:bCs/>
          <w:color w:val="2C3E50"/>
          <w:sz w:val="22"/>
          <w:szCs w:val="22"/>
        </w:rPr>
        <w:t xml:space="preserve">Architecture Change: Before vs After Temenos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Layer</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Before Temenos (2017)</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After Temenos (2021+)</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Interface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Basic NetBanking + Mobile App (legacy)</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Temenos Infinity (omnichannel)</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API Layer</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Direct core banking APIs</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Temenos orchestration layer + microservices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 Operations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CTL PRIME direct access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CTL PRIME via Temenos APIs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Loan Origination</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Manual/branch-based</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Digital origination on Temenos platform</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Account Opening</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Branch visit required</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 onboarding (CNIC + biometric)</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Data Sources for DWH</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Core banking + CTL extracts</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Core banking + CTL + Temenos interaction data</w:t>
            </w:r>
          </w:p>
        </w:tc>
      </w:tr>
    </w:tbl>
    <w:p>
      <w:pPr>
        <w:spacing w:before="80" w:after="80"/>
      </w:pPr>
    </w:p>
    <w:p>
      <w:pPr>
        <w:pStyle w:val="Heading2"/>
        <w:spacing w:before="280" w:after="160"/>
      </w:pPr>
      <w:r>
        <w:rPr>
          <w:rFonts w:ascii="Arial" w:cs="Arial" w:eastAsia="Arial" w:hAnsi="Arial"/>
          <w:b/>
          <w:bCs/>
          <w:color w:val="2E86C1"/>
          <w:sz w:val="26"/>
          <w:szCs w:val="26"/>
        </w:rPr>
        <w:t xml:space="preserve">5.3 Payments Ecosystem Transformation</w:t>
      </w:r>
    </w:p>
    <w:p>
      <w:pPr>
        <w:spacing w:before="200" w:after="120"/>
      </w:pPr>
      <w:r>
        <w:rPr>
          <w:rFonts w:ascii="Arial" w:cs="Arial" w:eastAsia="Arial" w:hAnsi="Arial"/>
          <w:b/>
          <w:bCs/>
          <w:color w:val="2C3E50"/>
          <w:sz w:val="22"/>
          <w:szCs w:val="22"/>
        </w:rPr>
        <w:t xml:space="preserve">RAAST - Pakistan's Instant Payment System</w:t>
      </w:r>
    </w:p>
    <w:p>
      <w:pPr>
        <w:spacing w:before="80" w:after="80"/>
        <w:jc w:val="both"/>
      </w:pPr>
      <w:r>
        <w:rPr>
          <w:rFonts w:ascii="Arial" w:cs="Arial" w:eastAsia="Arial" w:hAnsi="Arial"/>
          <w:color w:val="2C3E50"/>
          <w:sz w:val="20"/>
          <w:szCs w:val="20"/>
        </w:rPr>
        <w:t xml:space="preserve">RAAST fundamentally changes UBL's payments landscape. Launched by SBP, it enables real-time transfers between bank accounts and digital wallets, operating 24/7 and designed to be cost-free for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RAAST Feature</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Profitability Impact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Person-to-Person (P2P)</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Instant transfers via mobile number</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Cannibalized IBFT fee income</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Person-to-Merchant (P2M)</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QR code payments at merchants</w:t>
            </w:r>
          </w:p>
        </w:tc>
        <w:tc>
          <w:tcPr>
            <w:tcW w:type="dxa" w:w="3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Potential cannibalization of card interchange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Request to Pay (R2P)</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Merchants send payment requests to customers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New transaction type in profitability model</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Bulk Payments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Government disbursements, salary payments</w:t>
            </w:r>
          </w:p>
        </w:tc>
        <w:tc>
          <w:tcPr>
            <w:tcW w:type="dxa" w:w="3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New deposit acquisition channel</w:t>
            </w:r>
          </w:p>
        </w:tc>
      </w:tr>
    </w:tbl>
    <w:p>
      <w:pPr>
        <w:spacing w:before="80" w:after="80"/>
      </w:pPr>
    </w:p>
    <w:p>
      <w:pPr>
        <w:spacing w:before="200" w:after="120"/>
      </w:pPr>
      <w:r>
        <w:rPr>
          <w:rFonts w:ascii="Arial" w:cs="Arial" w:eastAsia="Arial" w:hAnsi="Arial"/>
          <w:b/>
          <w:bCs/>
          <w:color w:val="2C3E50"/>
          <w:sz w:val="22"/>
          <w:szCs w:val="22"/>
        </w:rPr>
        <w:t xml:space="preserve">PayPak Domestic Scheme</w:t>
      </w:r>
    </w:p>
    <w:p>
      <w:pPr>
        <w:spacing w:before="80" w:after="80"/>
        <w:jc w:val="both"/>
      </w:pPr>
      <w:r>
        <w:rPr>
          <w:rFonts w:ascii="Arial" w:cs="Arial" w:eastAsia="Arial" w:hAnsi="Arial"/>
          <w:color w:val="2C3E50"/>
          <w:sz w:val="20"/>
          <w:szCs w:val="20"/>
        </w:rPr>
        <w:t xml:space="preserve">PayPak is SBP's domestic payment scheme, providing an alternative to Visa/MasterCard for domestic transactions. UBL issues PayPak-branded cards, and interchange economics differ from international schemes. The profitability engine must account for different interchange rate structures between Visa, MasterCard, and PayPak transactions.</w:t>
      </w:r>
    </w:p>
    <w:p>
      <w:pPr>
        <w:pStyle w:val="Heading2"/>
        <w:spacing w:before="280" w:after="160"/>
      </w:pPr>
      <w:r>
        <w:rPr>
          <w:rFonts w:ascii="Arial" w:cs="Arial" w:eastAsia="Arial" w:hAnsi="Arial"/>
          <w:b/>
          <w:bCs/>
          <w:color w:val="2E86C1"/>
          <w:sz w:val="26"/>
          <w:szCs w:val="26"/>
        </w:rPr>
        <w:t xml:space="preserve">5.4 Data &amp; Analytics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Capability</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2017</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Data Platform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Teradata 2850 (FSDM)</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Teradata IntelliFlex + Cloudera CDP</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Analytics</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SQL-based reporting, TVA</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Self-service BI, AI/ML models, real-time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Fraud Detection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FRAUDGUARD (rule-based)</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AI-based real-time transaction scoring</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ATM Cash Management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Manual/schedule-based</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ML-optimized cash loading per ATM</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Insights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Segment-level reporting</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Individual-level predictions and recommendations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Data Sources</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Core banking + CTL (structured)</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Core + CTL + Temenos + RAAST + unstructured</w:t>
            </w:r>
          </w:p>
        </w:tc>
      </w:tr>
    </w:tbl>
    <w:p>
      <w:pPr>
        <w:spacing w:before="80" w:after="80"/>
      </w:pPr>
    </w:p>
    <w:p>
      <w:pPr>
        <w:pStyle w:val="Heading2"/>
        <w:spacing w:before="280" w:after="160"/>
      </w:pPr>
      <w:r>
        <w:rPr>
          <w:rFonts w:ascii="Arial" w:cs="Arial" w:eastAsia="Arial" w:hAnsi="Arial"/>
          <w:b/>
          <w:bCs/>
          <w:color w:val="2E86C1"/>
          <w:sz w:val="26"/>
          <w:szCs w:val="26"/>
        </w:rPr>
        <w:t xml:space="preserve">5.5 Silkbank Merger Integration (2025)</w:t>
      </w:r>
    </w:p>
    <w:p>
      <w:pPr>
        <w:spacing w:before="80" w:after="80"/>
        <w:jc w:val="both"/>
      </w:pPr>
      <w:r>
        <w:rPr>
          <w:rFonts w:ascii="Arial" w:cs="Arial" w:eastAsia="Arial" w:hAnsi="Arial"/>
          <w:color w:val="2C3E50"/>
          <w:sz w:val="20"/>
          <w:szCs w:val="20"/>
        </w:rPr>
        <w:t xml:space="preserve">The SBP sanctioned the amalgamation of Silkbank with UBL effective March 11, 2025. Silkbank, though Pakistan's smallest bank, had an outsized role in consumer lending and credit cards. The merger expands UBL's customer base, branch network, and asset portfolio.</w:t>
      </w:r>
    </w:p>
    <w:p>
      <w:pPr>
        <w:spacing w:before="200" w:after="120"/>
      </w:pPr>
      <w:r>
        <w:rPr>
          <w:rFonts w:ascii="Arial" w:cs="Arial" w:eastAsia="Arial" w:hAnsi="Arial"/>
          <w:b/>
          <w:bCs/>
          <w:color w:val="2C3E50"/>
          <w:sz w:val="22"/>
          <w:szCs w:val="22"/>
        </w:rPr>
        <w:t xml:space="preserve">Key Integration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Workstream</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Scope</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Timeline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Core Banking Migration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Account migration, CIF merge/dedup, GL COA mapping</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Ongoing through 2025</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Card System Migration</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Card portfolio into CTL/PRIME, new card issuance</w:t>
            </w:r>
          </w:p>
        </w:tc>
        <w:tc>
          <w:tcPr>
            <w:tcW w:type="dxa" w:w="2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Silkbank debit cards cease Dec 2025</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 Channel Migration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NetBanking discontinued Aug 2025, migrate to UBL Digital App</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Completed Aug 2025</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Data Warehouse Integration</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New source system, historical data, customer 360 rebuild</w:t>
            </w:r>
          </w:p>
        </w:tc>
        <w:tc>
          <w:tcPr>
            <w:tcW w:type="dxa" w:w="2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Ongoing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Branch Network Rationalization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Overlapping branches identified for consolidation</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Multi-year program</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Product Rationalization</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Eliminate duplicate products, harmonize pricing</w:t>
            </w:r>
          </w:p>
        </w:tc>
        <w:tc>
          <w:tcPr>
            <w:tcW w:type="dxa" w:w="2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Ongoing</w:t>
            </w:r>
          </w:p>
        </w:tc>
      </w:tr>
    </w:tbl>
    <w:p>
      <w:pPr>
        <w:spacing w:before="80" w:after="80"/>
      </w:pPr>
    </w:p>
    <w:p>
      <w:pPr>
        <w:spacing w:before="200" w:after="120"/>
      </w:pPr>
      <w:r>
        <w:rPr>
          <w:rFonts w:ascii="Arial" w:cs="Arial" w:eastAsia="Arial" w:hAnsi="Arial"/>
          <w:b/>
          <w:bCs/>
          <w:color w:val="2C3E50"/>
          <w:sz w:val="22"/>
          <w:szCs w:val="22"/>
        </w:rPr>
        <w:t xml:space="preserve">Silkbank Credit Card Portfolio - Special Considerations</w:t>
      </w:r>
    </w:p>
    <w:p>
      <w:pPr>
        <w:spacing w:before="80" w:after="80"/>
        <w:jc w:val="both"/>
      </w:pPr>
      <w:r>
        <w:rPr>
          <w:rFonts w:ascii="Arial" w:cs="Arial" w:eastAsia="Arial" w:hAnsi="Arial"/>
          <w:color w:val="2C3E50"/>
          <w:sz w:val="20"/>
          <w:szCs w:val="20"/>
        </w:rPr>
        <w:t xml:space="preserve">Silkbank's credit card business was disproportionately significant relative to its overall size. The migration of this portfolio into UBL's CTL/PRIME system requires:</w:t>
      </w:r>
    </w:p>
    <w:p>
      <w:pPr>
        <w:spacing w:before="60" w:after="60"/>
      </w:pPr>
      <w:r>
        <w:rPr>
          <w:rFonts w:ascii="Arial" w:cs="Arial" w:eastAsia="Arial" w:hAnsi="Arial"/>
          <w:b/>
          <w:bCs/>
          <w:color w:val="2C3E50"/>
          <w:sz w:val="20"/>
          <w:szCs w:val="20"/>
        </w:rPr>
        <w:t xml:space="preserve">Product Mapping:</w:t>
      </w:r>
      <w:r>
        <w:rPr>
          <w:rFonts w:ascii="Arial" w:cs="Arial" w:eastAsia="Arial" w:hAnsi="Arial"/>
          <w:color w:val="2C3E50"/>
          <w:sz w:val="20"/>
          <w:szCs w:val="20"/>
        </w:rPr>
        <w:t xml:space="preserve"> Silkbank credit card products must be mapped to equivalent UBL card products or new products created in PRIME's product configuration.</w:t>
      </w:r>
    </w:p>
    <w:p>
      <w:pPr>
        <w:spacing w:before="60" w:after="60"/>
      </w:pPr>
      <w:r>
        <w:rPr>
          <w:rFonts w:ascii="Arial" w:cs="Arial" w:eastAsia="Arial" w:hAnsi="Arial"/>
          <w:b/>
          <w:bCs/>
          <w:color w:val="2C3E50"/>
          <w:sz w:val="20"/>
          <w:szCs w:val="20"/>
        </w:rPr>
        <w:t xml:space="preserve">Rate Plan Migration:</w:t>
      </w:r>
      <w:r>
        <w:rPr>
          <w:rFonts w:ascii="Arial" w:cs="Arial" w:eastAsia="Arial" w:hAnsi="Arial"/>
          <w:color w:val="2C3E50"/>
          <w:sz w:val="20"/>
          <w:szCs w:val="20"/>
        </w:rPr>
        <w:t xml:space="preserve"> Interest rates, fee structures, reward point accrual rates, and billing cycle assignments must be carefully transitioned to maintain regulatory compliance and customer experience.</w:t>
      </w:r>
    </w:p>
    <w:p>
      <w:pPr>
        <w:spacing w:before="60" w:after="60"/>
      </w:pPr>
      <w:r>
        <w:rPr>
          <w:rFonts w:ascii="Arial" w:cs="Arial" w:eastAsia="Arial" w:hAnsi="Arial"/>
          <w:b/>
          <w:bCs/>
          <w:color w:val="2C3E50"/>
          <w:sz w:val="20"/>
          <w:szCs w:val="20"/>
        </w:rPr>
        <w:t xml:space="preserve">Balance Migration:</w:t>
      </w:r>
      <w:r>
        <w:rPr>
          <w:rFonts w:ascii="Arial" w:cs="Arial" w:eastAsia="Arial" w:hAnsi="Arial"/>
          <w:color w:val="2C3E50"/>
          <w:sz w:val="20"/>
          <w:szCs w:val="20"/>
        </w:rPr>
        <w:t xml:space="preserve"> All outstanding balances (retail, cash advance, installment plans, overlimit), aging status, minimum due calculations, and disputed amounts must be accurately migrated.</w:t>
      </w:r>
    </w:p>
    <w:p>
      <w:pPr>
        <w:spacing w:before="60" w:after="60"/>
      </w:pPr>
      <w:r>
        <w:rPr>
          <w:rFonts w:ascii="Arial" w:cs="Arial" w:eastAsia="Arial" w:hAnsi="Arial"/>
          <w:b/>
          <w:bCs/>
          <w:color w:val="2C3E50"/>
          <w:sz w:val="20"/>
          <w:szCs w:val="20"/>
        </w:rPr>
        <w:t xml:space="preserve">Profitability Baseline:</w:t>
      </w:r>
      <w:r>
        <w:rPr>
          <w:rFonts w:ascii="Arial" w:cs="Arial" w:eastAsia="Arial" w:hAnsi="Arial"/>
          <w:color w:val="2C3E50"/>
          <w:sz w:val="20"/>
          <w:szCs w:val="20"/>
        </w:rPr>
        <w:t xml:space="preserve"> The merged portfolio needs a baseline profitability assessment - Silkbank's historical cost structure and revenue mix will differ from UBL's. Integration synergies and one-time costs must be tracked separately in the TVA model.</w:t>
      </w:r>
    </w:p>
    <w:p>
      <w:pPr>
        <w:spacing w:before="60" w:after="60"/>
      </w:pPr>
      <w:r>
        <w:rPr>
          <w:rFonts w:ascii="Arial" w:cs="Arial" w:eastAsia="Arial" w:hAnsi="Arial"/>
          <w:b/>
          <w:bCs/>
          <w:color w:val="2C3E50"/>
          <w:sz w:val="20"/>
          <w:szCs w:val="20"/>
        </w:rPr>
        <w:t xml:space="preserve">Regulatory Continuity:</w:t>
      </w:r>
      <w:r>
        <w:rPr>
          <w:rFonts w:ascii="Arial" w:cs="Arial" w:eastAsia="Arial" w:hAnsi="Arial"/>
          <w:color w:val="2C3E50"/>
          <w:sz w:val="20"/>
          <w:szCs w:val="20"/>
        </w:rPr>
        <w:t xml:space="preserve"> SBP reporting, eCIB submissions, and IFRS 9 ECL calculations must continue uninterrupted through the migration.</w:t>
      </w:r>
    </w:p>
    <w:p>
      <w:pPr>
        <w:pStyle w:val="Heading2"/>
        <w:spacing w:before="280" w:after="160"/>
      </w:pPr>
      <w:r>
        <w:rPr>
          <w:rFonts w:ascii="Arial" w:cs="Arial" w:eastAsia="Arial" w:hAnsi="Arial"/>
          <w:b/>
          <w:bCs/>
          <w:color w:val="2E86C1"/>
          <w:sz w:val="26"/>
          <w:szCs w:val="26"/>
        </w:rPr>
        <w:t xml:space="preserve">5.6 UBL Technology Stack Comparison: 2017 vs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2017 (Pre-Digital)</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 (Current)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Core Banking</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Legacy system</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Same core + Temenos digital layer</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Card Management</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CTL PRIME (fresh implementation)</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TSYS PRIME (upgraded, API-first)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 Channels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Basic NetBanking/Mobile</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Temenos Infinity (full omnichannel)</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Data Warehouse</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Teradata 2850 on FSDM</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Teradata IntelliFlex + Cloudera CDP</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Analytics/BI</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TVA + standard SQL reporting</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Self-service BI + AI/ML + executive dashboards</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Fraud Detection</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FRAUDGUARD (rule-based)</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AI real-time fraud scoring on CDP</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Payments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Cards + IBFT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Cards + RAAST + QR + UBL Pay + PayPak</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Islamic Banking</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Separate branch operations</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UBL Ameen (integrated digital, first Islamic digital account)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Base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~8-9M customers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12M+ (post-Silkbank merger)</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Branches</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~1,100</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1,360+ (post-merger)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ATMs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~1,200</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1,440+</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Credit Rating</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AAA/A-1+</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AAA/A-1+ (VIS reaffirmed)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Ownership</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Bestway/Abu Dhabi Group</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Bestway Group (subsidiary)</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International</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UAE, Bahrain, Qatar + UK (UNBL)</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UAE, Bahrain, Qatar (UK sold Jul 2024)</w:t>
            </w:r>
          </w:p>
        </w:tc>
      </w:tr>
    </w:tbl>
    <w:p>
      <w:r>
        <w:br w:type="page"/>
      </w:r>
    </w:p>
    <w:p>
      <w:pPr>
        <w:pStyle w:val="Heading1"/>
        <w:pBdr>
          <w:bottom w:val="single" w:color="1B4F72" w:sz="3" w:space="4"/>
        </w:pBdr>
        <w:spacing w:before="360" w:after="200"/>
      </w:pPr>
      <w:r>
        <w:rPr>
          <w:rFonts w:ascii="Arial" w:cs="Arial" w:eastAsia="Arial" w:hAnsi="Arial"/>
          <w:b/>
          <w:bCs/>
          <w:color w:val="1B4F72"/>
          <w:sz w:val="32"/>
          <w:szCs w:val="32"/>
        </w:rPr>
        <w:t xml:space="preserve">6. Profitability Engine - Modern Redesign Considerations</w:t>
      </w:r>
    </w:p>
    <w:p>
      <w:pPr>
        <w:pStyle w:val="Heading2"/>
        <w:spacing w:before="280" w:after="160"/>
      </w:pPr>
      <w:r>
        <w:rPr>
          <w:rFonts w:ascii="Arial" w:cs="Arial" w:eastAsia="Arial" w:hAnsi="Arial"/>
          <w:b/>
          <w:bCs/>
          <w:color w:val="2E86C1"/>
          <w:sz w:val="26"/>
          <w:szCs w:val="26"/>
        </w:rPr>
        <w:t xml:space="preserve">6.1 Challenges with Current Architecture</w:t>
      </w:r>
    </w:p>
    <w:p>
      <w:pPr>
        <w:spacing w:before="80" w:after="80"/>
        <w:jc w:val="both"/>
      </w:pPr>
      <w:r>
        <w:rPr>
          <w:rFonts w:ascii="Arial" w:cs="Arial" w:eastAsia="Arial" w:hAnsi="Arial"/>
          <w:color w:val="2C3E50"/>
          <w:sz w:val="20"/>
          <w:szCs w:val="20"/>
        </w:rPr>
        <w:t xml:space="preserve">The original TVA profitability engine on Teradata FSDM was designed in an era of batch processing, structured data, and limited digital channels. The 2025 reality demands a redesign to accommodate:</w:t>
      </w:r>
    </w:p>
    <w:p>
      <w:pPr>
        <w:spacing w:before="60" w:after="60"/>
      </w:pPr>
      <w:r>
        <w:rPr>
          <w:rFonts w:ascii="Arial" w:cs="Arial" w:eastAsia="Arial" w:hAnsi="Arial"/>
          <w:b/>
          <w:bCs/>
          <w:color w:val="2C3E50"/>
          <w:sz w:val="20"/>
          <w:szCs w:val="20"/>
        </w:rPr>
        <w:t xml:space="preserve">Hybrid Data Platform:</w:t>
      </w:r>
      <w:r>
        <w:rPr>
          <w:rFonts w:ascii="Arial" w:cs="Arial" w:eastAsia="Arial" w:hAnsi="Arial"/>
          <w:color w:val="2C3E50"/>
          <w:sz w:val="20"/>
          <w:szCs w:val="20"/>
        </w:rPr>
        <w:t xml:space="preserve"> Profitability calculations now need to span Teradata IntelliFlex and Cloudera CDP, requiring a clear delineation of which calculations run where and how data flows between platforms.</w:t>
      </w:r>
    </w:p>
    <w:p>
      <w:pPr>
        <w:spacing w:before="60" w:after="60"/>
      </w:pPr>
      <w:r>
        <w:rPr>
          <w:rFonts w:ascii="Arial" w:cs="Arial" w:eastAsia="Arial" w:hAnsi="Arial"/>
          <w:b/>
          <w:bCs/>
          <w:color w:val="2C3E50"/>
          <w:sz w:val="20"/>
          <w:szCs w:val="20"/>
        </w:rPr>
        <w:t xml:space="preserve">Real-Time Transactions:</w:t>
      </w:r>
      <w:r>
        <w:rPr>
          <w:rFonts w:ascii="Arial" w:cs="Arial" w:eastAsia="Arial" w:hAnsi="Arial"/>
          <w:color w:val="2C3E50"/>
          <w:sz w:val="20"/>
          <w:szCs w:val="20"/>
        </w:rPr>
        <w:t xml:space="preserve"> RAAST instant payments and digital banking interactions generate real-time data that the batch-oriented TVA model cannot incorporate until the next processing cycle.</w:t>
      </w:r>
    </w:p>
    <w:p>
      <w:pPr>
        <w:spacing w:before="60" w:after="60"/>
      </w:pPr>
      <w:r>
        <w:rPr>
          <w:rFonts w:ascii="Arial" w:cs="Arial" w:eastAsia="Arial" w:hAnsi="Arial"/>
          <w:b/>
          <w:bCs/>
          <w:color w:val="2C3E50"/>
          <w:sz w:val="20"/>
          <w:szCs w:val="20"/>
        </w:rPr>
        <w:t xml:space="preserve">New Revenue Streams:</w:t>
      </w:r>
      <w:r>
        <w:rPr>
          <w:rFonts w:ascii="Arial" w:cs="Arial" w:eastAsia="Arial" w:hAnsi="Arial"/>
          <w:color w:val="2C3E50"/>
          <w:sz w:val="20"/>
          <w:szCs w:val="20"/>
        </w:rPr>
        <w:t xml:space="preserve"> Digital channel fees, QR-based payments, UBL Pay transactions, and RAAST services create revenue types that didn't exist in the original model.</w:t>
      </w:r>
    </w:p>
    <w:p>
      <w:pPr>
        <w:spacing w:before="60" w:after="60"/>
      </w:pPr>
      <w:r>
        <w:rPr>
          <w:rFonts w:ascii="Arial" w:cs="Arial" w:eastAsia="Arial" w:hAnsi="Arial"/>
          <w:b/>
          <w:bCs/>
          <w:color w:val="2C3E50"/>
          <w:sz w:val="20"/>
          <w:szCs w:val="20"/>
        </w:rPr>
        <w:t xml:space="preserve">IFRS 9 ECL:</w:t>
      </w:r>
      <w:r>
        <w:rPr>
          <w:rFonts w:ascii="Arial" w:cs="Arial" w:eastAsia="Arial" w:hAnsi="Arial"/>
          <w:color w:val="2C3E50"/>
          <w:sz w:val="20"/>
          <w:szCs w:val="20"/>
        </w:rPr>
        <w:t xml:space="preserve"> The simple aging-bucket provisioning model needs to be replaced with forward-looking Expected Credit Loss calculations incorporating macroeconomic scenarios and probability of default models.</w:t>
      </w:r>
    </w:p>
    <w:p>
      <w:pPr>
        <w:spacing w:before="60" w:after="60"/>
      </w:pPr>
      <w:r>
        <w:rPr>
          <w:rFonts w:ascii="Arial" w:cs="Arial" w:eastAsia="Arial" w:hAnsi="Arial"/>
          <w:b/>
          <w:bCs/>
          <w:color w:val="2C3E50"/>
          <w:sz w:val="20"/>
          <w:szCs w:val="20"/>
        </w:rPr>
        <w:t xml:space="preserve">Silkbank Integration:</w:t>
      </w:r>
      <w:r>
        <w:rPr>
          <w:rFonts w:ascii="Arial" w:cs="Arial" w:eastAsia="Arial" w:hAnsi="Arial"/>
          <w:color w:val="2C3E50"/>
          <w:sz w:val="20"/>
          <w:szCs w:val="20"/>
        </w:rPr>
        <w:t xml:space="preserve"> The merged entity requires a unified profitability view that accounts for legacy Silkbank cost structures, transitional integration costs, and merger synergies.</w:t>
      </w:r>
    </w:p>
    <w:p>
      <w:pPr>
        <w:spacing w:before="60" w:after="60"/>
      </w:pPr>
      <w:r>
        <w:rPr>
          <w:rFonts w:ascii="Arial" w:cs="Arial" w:eastAsia="Arial" w:hAnsi="Arial"/>
          <w:b/>
          <w:bCs/>
          <w:color w:val="2C3E50"/>
          <w:sz w:val="20"/>
          <w:szCs w:val="20"/>
        </w:rPr>
        <w:t xml:space="preserve">AI/ML Cost Center:</w:t>
      </w:r>
      <w:r>
        <w:rPr>
          <w:rFonts w:ascii="Arial" w:cs="Arial" w:eastAsia="Arial" w:hAnsi="Arial"/>
          <w:color w:val="2C3E50"/>
          <w:sz w:val="20"/>
          <w:szCs w:val="20"/>
        </w:rPr>
        <w:t xml:space="preserve"> The Cloudera CDP platform and associated AI/ML operations represent a new cost center that must be allocated to products and customers.</w:t>
      </w:r>
    </w:p>
    <w:p>
      <w:pPr>
        <w:pStyle w:val="Heading2"/>
        <w:spacing w:before="280" w:after="160"/>
      </w:pPr>
      <w:r>
        <w:rPr>
          <w:rFonts w:ascii="Arial" w:cs="Arial" w:eastAsia="Arial" w:hAnsi="Arial"/>
          <w:b/>
          <w:bCs/>
          <w:color w:val="2E86C1"/>
          <w:sz w:val="26"/>
          <w:szCs w:val="26"/>
        </w:rPr>
        <w:t xml:space="preserve">6.2 Target State Architecture</w:t>
      </w:r>
    </w:p>
    <w:p>
      <w:pPr>
        <w:shd w:fill="F2F4F4" w:val="clear"/>
        <w:spacing w:before="40" w:after="40"/>
        <w:ind w:left="360"/>
      </w:pPr>
      <w:r>
        <w:rPr>
          <w:rFonts w:ascii="Courier New" w:cs="Courier New" w:eastAsia="Courier New" w:hAnsi="Courier New"/>
          <w:color w:val="2C3E50"/>
          <w:sz w:val="18"/>
          <w:szCs w:val="18"/>
        </w:rPr>
        <w:t xml:space="preserve">Data Sources:</w:t>
      </w:r>
    </w:p>
    <w:p>
      <w:pPr>
        <w:shd w:fill="F2F4F4" w:val="clear"/>
        <w:spacing w:before="40" w:after="40"/>
        <w:ind w:left="360"/>
      </w:pPr>
      <w:r>
        <w:rPr>
          <w:rFonts w:ascii="Courier New" w:cs="Courier New" w:eastAsia="Courier New" w:hAnsi="Courier New"/>
          <w:color w:val="2C3E50"/>
          <w:sz w:val="18"/>
          <w:szCs w:val="18"/>
        </w:rPr>
        <w:t xml:space="preserve">  Core Banking + CTL/PRIME + Temenos Infinity + RAAST</w:t>
      </w:r>
    </w:p>
    <w:p>
      <w:pPr>
        <w:shd w:fill="F2F4F4" w:val="clear"/>
        <w:spacing w:before="40" w:after="40"/>
        <w:ind w:left="360"/>
      </w:pPr>
      <w:r>
        <w:rPr>
          <w:rFonts w:ascii="Courier New" w:cs="Courier New" w:eastAsia="Courier New" w:hAnsi="Courier New"/>
          <w:color w:val="2C3E50"/>
          <w:sz w:val="18"/>
          <w:szCs w:val="18"/>
        </w:rPr>
        <w:t xml:space="preserve">  + Silkbank (transitional) + Digital Channels</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  [Cloudera CDP - Data Lakehouse]</w:t>
      </w:r>
    </w:p>
    <w:p>
      <w:pPr>
        <w:shd w:fill="F2F4F4" w:val="clear"/>
        <w:spacing w:before="40" w:after="40"/>
        <w:ind w:left="360"/>
      </w:pPr>
      <w:r>
        <w:rPr>
          <w:rFonts w:ascii="Courier New" w:cs="Courier New" w:eastAsia="Courier New" w:hAnsi="Courier New"/>
          <w:color w:val="2C3E50"/>
          <w:sz w:val="18"/>
          <w:szCs w:val="18"/>
        </w:rPr>
        <w:t xml:space="preserve">    -&gt; Ingestion &amp; Integration layer</w:t>
      </w:r>
    </w:p>
    <w:p>
      <w:pPr>
        <w:shd w:fill="F2F4F4" w:val="clear"/>
        <w:spacing w:before="40" w:after="40"/>
        <w:ind w:left="360"/>
      </w:pPr>
      <w:r>
        <w:rPr>
          <w:rFonts w:ascii="Courier New" w:cs="Courier New" w:eastAsia="Courier New" w:hAnsi="Courier New"/>
          <w:color w:val="2C3E50"/>
          <w:sz w:val="18"/>
          <w:szCs w:val="18"/>
        </w:rPr>
        <w:t xml:space="preserve">    -&gt; Real-time streaming (Kafka)</w:t>
      </w:r>
    </w:p>
    <w:p>
      <w:pPr>
        <w:shd w:fill="F2F4F4" w:val="clear"/>
        <w:spacing w:before="40" w:after="40"/>
        <w:ind w:left="360"/>
      </w:pPr>
      <w:r>
        <w:rPr>
          <w:rFonts w:ascii="Courier New" w:cs="Courier New" w:eastAsia="Courier New" w:hAnsi="Courier New"/>
          <w:color w:val="2C3E50"/>
          <w:sz w:val="18"/>
          <w:szCs w:val="18"/>
        </w:rPr>
        <w:t xml:space="preserve">    -&gt; AI/ML model serving</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  [Teradata IntelliFlex - FSDM]</w:t>
      </w:r>
    </w:p>
    <w:p>
      <w:pPr>
        <w:shd w:fill="F2F4F4" w:val="clear"/>
        <w:spacing w:before="40" w:after="40"/>
        <w:ind w:left="360"/>
      </w:pPr>
      <w:r>
        <w:rPr>
          <w:rFonts w:ascii="Courier New" w:cs="Courier New" w:eastAsia="Courier New" w:hAnsi="Courier New"/>
          <w:color w:val="2C3E50"/>
          <w:sz w:val="18"/>
          <w:szCs w:val="18"/>
        </w:rPr>
        <w:t xml:space="preserve">    -&gt; Financial calculations (FTP, cost allocation)</w:t>
      </w:r>
    </w:p>
    <w:p>
      <w:pPr>
        <w:shd w:fill="F2F4F4" w:val="clear"/>
        <w:spacing w:before="40" w:after="40"/>
        <w:ind w:left="360"/>
      </w:pPr>
      <w:r>
        <w:rPr>
          <w:rFonts w:ascii="Courier New" w:cs="Courier New" w:eastAsia="Courier New" w:hAnsi="Courier New"/>
          <w:color w:val="2C3E50"/>
          <w:sz w:val="18"/>
          <w:szCs w:val="18"/>
        </w:rPr>
        <w:t xml:space="preserve">    -&gt; GL reconciliation</w:t>
      </w:r>
    </w:p>
    <w:p>
      <w:pPr>
        <w:shd w:fill="F2F4F4" w:val="clear"/>
        <w:spacing w:before="40" w:after="40"/>
        <w:ind w:left="360"/>
      </w:pPr>
      <w:r>
        <w:rPr>
          <w:rFonts w:ascii="Courier New" w:cs="Courier New" w:eastAsia="Courier New" w:hAnsi="Courier New"/>
          <w:color w:val="2C3E50"/>
          <w:sz w:val="18"/>
          <w:szCs w:val="18"/>
        </w:rPr>
        <w:t xml:space="preserve">    -&gt; Regulatory reporting</w:t>
      </w:r>
    </w:p>
    <w:p>
      <w:pPr>
        <w:shd w:fill="F2F4F4" w:val="clear"/>
        <w:spacing w:before="40" w:after="40"/>
        <w:ind w:left="360"/>
      </w:pPr>
      <w:r>
        <w:rPr>
          <w:rFonts w:ascii="Courier New" w:cs="Courier New" w:eastAsia="Courier New" w:hAnsi="Courier New"/>
          <w:color w:val="2C3E50"/>
          <w:sz w:val="18"/>
          <w:szCs w:val="18"/>
        </w:rPr>
        <w:t xml:space="preserve">        |</w:t>
      </w:r>
    </w:p>
    <w:p>
      <w:pPr>
        <w:shd w:fill="F2F4F4" w:val="clear"/>
        <w:spacing w:before="40" w:after="40"/>
        <w:ind w:left="360"/>
      </w:pPr>
      <w:r>
        <w:rPr>
          <w:rFonts w:ascii="Courier New" w:cs="Courier New" w:eastAsia="Courier New" w:hAnsi="Courier New"/>
          <w:color w:val="2C3E50"/>
          <w:sz w:val="18"/>
          <w:szCs w:val="18"/>
        </w:rPr>
        <w:t xml:space="preserve">  [Profitability Cube]</w:t>
      </w:r>
    </w:p>
    <w:p>
      <w:pPr>
        <w:shd w:fill="F2F4F4" w:val="clear"/>
        <w:spacing w:before="40" w:after="40"/>
        <w:ind w:left="360"/>
      </w:pPr>
      <w:r>
        <w:rPr>
          <w:rFonts w:ascii="Courier New" w:cs="Courier New" w:eastAsia="Courier New" w:hAnsi="Courier New"/>
          <w:color w:val="2C3E50"/>
          <w:sz w:val="18"/>
          <w:szCs w:val="18"/>
        </w:rPr>
        <w:t xml:space="preserve">    -&gt; Self-service BI (Cloudera)</w:t>
      </w:r>
    </w:p>
    <w:p>
      <w:pPr>
        <w:shd w:fill="F2F4F4" w:val="clear"/>
        <w:spacing w:before="40" w:after="40"/>
        <w:ind w:left="360"/>
      </w:pPr>
      <w:r>
        <w:rPr>
          <w:rFonts w:ascii="Courier New" w:cs="Courier New" w:eastAsia="Courier New" w:hAnsi="Courier New"/>
          <w:color w:val="2C3E50"/>
          <w:sz w:val="18"/>
          <w:szCs w:val="18"/>
        </w:rPr>
        <w:t xml:space="preserve">    -&gt; Executive dashboards</w:t>
      </w:r>
    </w:p>
    <w:p>
      <w:pPr>
        <w:shd w:fill="F2F4F4" w:val="clear"/>
        <w:spacing w:before="40" w:after="40"/>
        <w:ind w:left="360"/>
      </w:pPr>
      <w:r>
        <w:rPr>
          <w:rFonts w:ascii="Courier New" w:cs="Courier New" w:eastAsia="Courier New" w:hAnsi="Courier New"/>
          <w:color w:val="2C3E50"/>
          <w:sz w:val="18"/>
          <w:szCs w:val="18"/>
        </w:rPr>
        <w:t xml:space="preserve">    -&gt; Customer-level P&amp;L</w:t>
      </w:r>
    </w:p>
    <w:p>
      <w:pPr>
        <w:shd w:fill="F2F4F4" w:val="clear"/>
        <w:spacing w:before="40" w:after="40"/>
        <w:ind w:left="360"/>
      </w:pPr>
      <w:r>
        <w:rPr>
          <w:rFonts w:ascii="Courier New" w:cs="Courier New" w:eastAsia="Courier New" w:hAnsi="Courier New"/>
          <w:color w:val="2C3E50"/>
          <w:sz w:val="18"/>
          <w:szCs w:val="18"/>
        </w:rPr>
        <w:t xml:space="preserve">    -&gt; Branch/product/segment analysis</w:t>
      </w:r>
    </w:p>
    <w:p>
      <w:pPr>
        <w:spacing w:before="80" w:after="80"/>
      </w:pPr>
    </w:p>
    <w:p>
      <w:pPr>
        <w:pStyle w:val="Heading2"/>
        <w:spacing w:before="280" w:after="160"/>
      </w:pPr>
      <w:r>
        <w:rPr>
          <w:rFonts w:ascii="Arial" w:cs="Arial" w:eastAsia="Arial" w:hAnsi="Arial"/>
          <w:b/>
          <w:bCs/>
          <w:color w:val="2E86C1"/>
          <w:sz w:val="26"/>
          <w:szCs w:val="26"/>
        </w:rPr>
        <w:t xml:space="preserve">6.3 Customer as Prime Dimension - Enhanced Model</w:t>
      </w:r>
    </w:p>
    <w:p>
      <w:pPr>
        <w:spacing w:before="80" w:after="80"/>
        <w:jc w:val="both"/>
      </w:pPr>
      <w:r>
        <w:rPr>
          <w:rFonts w:ascii="Arial" w:cs="Arial" w:eastAsia="Arial" w:hAnsi="Arial"/>
          <w:color w:val="2C3E50"/>
          <w:sz w:val="20"/>
          <w:szCs w:val="20"/>
        </w:rPr>
        <w:t xml:space="preserve">The customer remains the prime dimension, but the customer model must now account for: merged Silkbank customers with potential duplicate CIFs requiring deduplication, digital-only customers (Asaan Digital Account) with no branch relationship, customers using RAAST as primary payment method (reducing card-based profitability), multi-generational household relationships (family cards, joint accounts), and corporate customer hierarchies with complex billing structures across the Temenos corporate lending platform.</w:t>
      </w:r>
    </w:p>
    <w:p>
      <w:pPr>
        <w:pStyle w:val="Heading2"/>
        <w:spacing w:before="280" w:after="160"/>
      </w:pPr>
      <w:r>
        <w:rPr>
          <w:rFonts w:ascii="Arial" w:cs="Arial" w:eastAsia="Arial" w:hAnsi="Arial"/>
          <w:b/>
          <w:bCs/>
          <w:color w:val="2E86C1"/>
          <w:sz w:val="26"/>
          <w:szCs w:val="26"/>
        </w:rPr>
        <w:t xml:space="preserve">6.4 Key Profitability Queries the Redesigned Engine Must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Business Question</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Dimensions Required</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Sources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Top 100 most profitable customers bank-wide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All products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TVA cube (all sources)</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Bottom 1000 customers destroying value</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Customer, Cost allocation</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TVA cube + cost model</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Digital-only vs branch-heavy cost-to-serve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Channel</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Temenos + Branch ops + CDP</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RAAST cannibalization of card interchange</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Customer, Product, Channel</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RAAST txns + Card txns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Silkbank integration synergy tracking</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(ex-Silkbank), Branch, Product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Merged data + cost tracking</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Profitability by RM portfolio</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RM, Customer</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TVA cube + RM assignment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Islamic vs conventional product profitability</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Product (Islamic flag), Customer</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UBL Ameen + conventional</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Impact of annual fee waiver on retention</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Customer, Product, Revenue</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Fee income + churn model</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lifetime value by acquisition cohort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Customer, Time (onboard date)</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18"/>
                <w:szCs w:val="18"/>
              </w:rPr>
              <w:t xml:space="preserve">TVA cube + vintage analysis</w:t>
            </w:r>
          </w:p>
        </w:tc>
      </w:tr>
      <w:tr>
        <w:tc>
          <w:tcPr>
            <w:tcW w:type="dxa" w:w="3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 network optimization (post-merger)</w:t>
            </w:r>
          </w:p>
        </w:tc>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Branch, Customer density</w:t>
            </w:r>
          </w:p>
        </w:tc>
        <w:tc>
          <w:tcPr>
            <w:tcW w:type="dxa" w:w="37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b w:val="false"/>
                <w:bCs w:val="false"/>
                <w:color w:val="2C3E50"/>
                <w:sz w:val="18"/>
                <w:szCs w:val="18"/>
              </w:rPr>
              <w:t xml:space="preserve">TVA + geo-analytics on CDP</w:t>
            </w:r>
          </w:p>
        </w:tc>
      </w:tr>
    </w:tbl>
    <w:p>
      <w:r>
        <w:br w:type="page"/>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2E86C1"/>
        <w:sz w:val="16"/>
        <w:szCs w:val="16"/>
      </w:rPr>
      <w:t xml:space="preserve">Page </w:t>
    </w:r>
    <w:r>
      <w:rPr>
        <w:rFonts w:ascii="Arial" w:cs="Arial" w:eastAsia="Arial" w:hAnsi="Arial"/>
        <w:color w:val="2E86C1"/>
        <w:sz w:val="16"/>
        <w:szCs w:val="16"/>
      </w:rPr>
      <w:fldChar w:fldCharType="begin"/>
      <w:instrText xml:space="preserve">PAGE</w:instrText>
      <w:fldChar w:fldCharType="separate"/>
      <w:fldChar w:fldCharType="end"/>
    </w:r>
    <w:r>
      <w:rPr>
        <w:rFonts w:ascii="Arial" w:cs="Arial" w:eastAsia="Arial" w:hAnsi="Arial"/>
        <w:color w:val="2E86C1"/>
        <w:sz w:val="16"/>
        <w:szCs w:val="16"/>
      </w:rPr>
      <w:t xml:space="preserve"> of </w:t>
    </w:r>
    <w:r>
      <w:rPr>
        <w:rFonts w:ascii="Arial" w:cs="Arial" w:eastAsia="Arial" w:hAnsi="Arial"/>
        <w:color w:val="2E86C1"/>
        <w:sz w:val="16"/>
        <w:szCs w:val="16"/>
      </w:rPr>
      <w:fldChar w:fldCharType="begin"/>
      <w:instrText xml:space="preserve">NUMPAGES</w:instrText>
      <w:fldChar w:fldCharType="separate"/>
      <w:fldChar w:fldCharType="end"/>
    </w:r>
    <w:r>
      <w:rPr>
        <w:rFonts w:ascii="Arial" w:cs="Arial" w:eastAsia="Arial" w:hAnsi="Arial"/>
        <w:color w:val="2E86C1"/>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2E86C1"/>
        <w:sz w:val="16"/>
        <w:szCs w:val="16"/>
      </w:rPr>
      <w:t xml:space="preserve">UBL Banking Systems - Enterprise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2026-02-27T01:12:45.394Z</dcterms:created>
  <dcterms:modified xsi:type="dcterms:W3CDTF">2026-02-27T01:12:45.395Z</dcterms:modified>
</cp:coreProperties>
</file>

<file path=docProps/custom.xml><?xml version="1.0" encoding="utf-8"?>
<Properties xmlns="http://schemas.openxmlformats.org/officeDocument/2006/custom-properties" xmlns:vt="http://schemas.openxmlformats.org/officeDocument/2006/docPropsVTypes"/>
</file>