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07" w:rsidRDefault="00FE6A07" w:rsidP="0062405D">
      <w:pPr>
        <w:ind w:firstLine="708"/>
        <w:rPr>
          <w:lang w:val="en-US"/>
        </w:rPr>
      </w:pPr>
      <w:r w:rsidRPr="00FE6A07">
        <w:rPr>
          <w:i/>
          <w:lang w:val="en-US"/>
        </w:rPr>
        <w:t xml:space="preserve">Stimuli. </w:t>
      </w:r>
      <w:r w:rsidRPr="00FE6A07">
        <w:rPr>
          <w:lang w:val="en-US"/>
        </w:rPr>
        <w:t xml:space="preserve">We selected </w:t>
      </w:r>
      <w:r w:rsidR="00FF607F">
        <w:rPr>
          <w:lang w:val="en-US"/>
        </w:rPr>
        <w:t>128</w:t>
      </w:r>
      <w:r w:rsidRPr="00FE6A07">
        <w:rPr>
          <w:lang w:val="en-US"/>
        </w:rPr>
        <w:t xml:space="preserve"> nouns with non-cognate translation equivale</w:t>
      </w:r>
      <w:r>
        <w:rPr>
          <w:lang w:val="en-US"/>
        </w:rPr>
        <w:t>nts across Spanish and Basque</w:t>
      </w:r>
      <w:r w:rsidR="004C4F81">
        <w:rPr>
          <w:lang w:val="en-US"/>
        </w:rPr>
        <w:t xml:space="preserve"> for a total of </w:t>
      </w:r>
      <w:r w:rsidR="00FF607F">
        <w:rPr>
          <w:lang w:val="en-US"/>
        </w:rPr>
        <w:t>256</w:t>
      </w:r>
      <w:r w:rsidR="004C4F81">
        <w:rPr>
          <w:lang w:val="en-US"/>
        </w:rPr>
        <w:t xml:space="preserve"> words</w:t>
      </w:r>
      <w:r w:rsidR="0062405D">
        <w:rPr>
          <w:lang w:val="en-US"/>
        </w:rPr>
        <w:t xml:space="preserve">. Half of the nouns </w:t>
      </w:r>
      <w:r>
        <w:rPr>
          <w:lang w:val="en-US"/>
        </w:rPr>
        <w:t xml:space="preserve">were living and half were nonliving. Within each of these semantic classifications, we orthogonally manipulated </w:t>
      </w:r>
      <w:r w:rsidR="00606F5B">
        <w:rPr>
          <w:lang w:val="en-US"/>
        </w:rPr>
        <w:t>lexical familiarity</w:t>
      </w:r>
      <w:r>
        <w:rPr>
          <w:lang w:val="en-US"/>
        </w:rPr>
        <w:t xml:space="preserve"> and concreteness to create four categories based on a median split on each variable</w:t>
      </w:r>
      <w:r w:rsidR="004C4F81">
        <w:rPr>
          <w:lang w:val="en-US"/>
        </w:rPr>
        <w:t xml:space="preserve"> </w:t>
      </w:r>
      <w:r>
        <w:rPr>
          <w:lang w:val="en-US"/>
        </w:rPr>
        <w:t xml:space="preserve">(Table XXX). </w:t>
      </w:r>
      <w:r w:rsidR="004C4F81">
        <w:rPr>
          <w:lang w:val="en-US"/>
        </w:rPr>
        <w:t xml:space="preserve">This produced 16 total categories with 16 stimuli per category. </w:t>
      </w:r>
      <w:r w:rsidR="00606F5B">
        <w:rPr>
          <w:lang w:val="en-US"/>
        </w:rPr>
        <w:t>Lexical familiarity was operationalized using log frequency per million values extracted from the B-Pal and E-Hitz corp</w:t>
      </w:r>
      <w:r w:rsidR="006E7C92">
        <w:rPr>
          <w:lang w:val="en-US"/>
        </w:rPr>
        <w:t>ora</w:t>
      </w:r>
      <w:r w:rsidR="00606F5B">
        <w:rPr>
          <w:lang w:val="en-US"/>
        </w:rPr>
        <w:t xml:space="preserve"> for Spanish and Basque, respectively (</w:t>
      </w:r>
      <w:r w:rsidR="006E7C92">
        <w:rPr>
          <w:lang w:val="en-US"/>
        </w:rPr>
        <w:t>Davis &amp; Perea, 2005; Perea et al., 2006</w:t>
      </w:r>
      <w:r w:rsidR="00606F5B">
        <w:rPr>
          <w:lang w:val="en-US"/>
        </w:rPr>
        <w:t xml:space="preserve">). Concreteness values were obtained from the BaSp </w:t>
      </w:r>
      <w:r w:rsidR="008F689E">
        <w:rPr>
          <w:lang w:val="en-US"/>
        </w:rPr>
        <w:t xml:space="preserve">translation </w:t>
      </w:r>
      <w:r w:rsidR="00606F5B">
        <w:rPr>
          <w:lang w:val="en-US"/>
        </w:rPr>
        <w:t>database (</w:t>
      </w:r>
      <w:r w:rsidR="006E7C92">
        <w:rPr>
          <w:lang w:val="en-US"/>
        </w:rPr>
        <w:t>Duñabeitia et al., in prep</w:t>
      </w:r>
      <w:r w:rsidR="004C4F81">
        <w:rPr>
          <w:lang w:val="en-US"/>
        </w:rPr>
        <w:t>).</w:t>
      </w:r>
      <w:r w:rsidR="00606F5B">
        <w:rPr>
          <w:lang w:val="en-US"/>
        </w:rPr>
        <w:t xml:space="preserve"> </w:t>
      </w:r>
      <w:r w:rsidR="00E824E4">
        <w:rPr>
          <w:lang w:val="en-US"/>
        </w:rPr>
        <w:t>F</w:t>
      </w:r>
      <w:r w:rsidR="00BD1DA2">
        <w:rPr>
          <w:lang w:val="en-US"/>
        </w:rPr>
        <w:t>requenc</w:t>
      </w:r>
      <w:r w:rsidR="00606F5B">
        <w:rPr>
          <w:lang w:val="en-US"/>
        </w:rPr>
        <w:t>y</w:t>
      </w:r>
      <w:r w:rsidR="006E7C92">
        <w:rPr>
          <w:lang w:val="en-US"/>
        </w:rPr>
        <w:t xml:space="preserve"> (</w:t>
      </w:r>
      <w:r w:rsidR="006E7C92" w:rsidRPr="006E7C92">
        <w:rPr>
          <w:i/>
          <w:lang w:val="en-US"/>
        </w:rPr>
        <w:t>M</w:t>
      </w:r>
      <w:r w:rsidR="006E7C92">
        <w:rPr>
          <w:lang w:val="en-US"/>
        </w:rPr>
        <w:t xml:space="preserve"> = 1.</w:t>
      </w:r>
      <w:r w:rsidR="0011052B">
        <w:rPr>
          <w:lang w:val="en-US"/>
        </w:rPr>
        <w:t>3</w:t>
      </w:r>
      <w:r w:rsidR="006E7C92">
        <w:rPr>
          <w:lang w:val="en-US"/>
        </w:rPr>
        <w:t xml:space="preserve">, range = </w:t>
      </w:r>
      <w:r w:rsidR="0011052B">
        <w:rPr>
          <w:lang w:val="en-US"/>
        </w:rPr>
        <w:t>0.2</w:t>
      </w:r>
      <w:r w:rsidR="0011052B">
        <w:rPr>
          <w:lang w:val="en-US"/>
        </w:rPr>
        <w:t xml:space="preserve"> – </w:t>
      </w:r>
      <w:r w:rsidR="0011052B">
        <w:rPr>
          <w:lang w:val="en-US"/>
        </w:rPr>
        <w:t>3.1</w:t>
      </w:r>
      <w:r w:rsidR="006E7C92">
        <w:rPr>
          <w:lang w:val="en-US"/>
        </w:rPr>
        <w:t>)</w:t>
      </w:r>
      <w:r w:rsidR="00E824E4">
        <w:rPr>
          <w:lang w:val="en-US"/>
        </w:rPr>
        <w:t>, concreteness</w:t>
      </w:r>
      <w:r w:rsidR="006E7C92">
        <w:rPr>
          <w:lang w:val="en-US"/>
        </w:rPr>
        <w:t xml:space="preserve"> </w:t>
      </w:r>
      <w:r w:rsidR="006E7C92">
        <w:rPr>
          <w:lang w:val="en-US"/>
        </w:rPr>
        <w:t>(</w:t>
      </w:r>
      <w:r w:rsidR="006E7C92" w:rsidRPr="006E7C92">
        <w:rPr>
          <w:i/>
          <w:lang w:val="en-US"/>
        </w:rPr>
        <w:t>M</w:t>
      </w:r>
      <w:r w:rsidR="006E7C92">
        <w:rPr>
          <w:lang w:val="en-US"/>
        </w:rPr>
        <w:t xml:space="preserve"> = </w:t>
      </w:r>
      <w:r w:rsidR="0011052B">
        <w:rPr>
          <w:lang w:val="en-US"/>
        </w:rPr>
        <w:t>4.4</w:t>
      </w:r>
      <w:r w:rsidR="006E7C92">
        <w:rPr>
          <w:lang w:val="en-US"/>
        </w:rPr>
        <w:t xml:space="preserve">, range = </w:t>
      </w:r>
      <w:r w:rsidR="0011052B">
        <w:rPr>
          <w:lang w:val="en-US"/>
        </w:rPr>
        <w:t>2.3 – 6.5; scale of 1</w:t>
      </w:r>
      <w:r w:rsidR="0011052B">
        <w:rPr>
          <w:lang w:val="en-US"/>
        </w:rPr>
        <w:t xml:space="preserve"> –</w:t>
      </w:r>
      <w:r w:rsidR="0011052B">
        <w:rPr>
          <w:lang w:val="en-US"/>
        </w:rPr>
        <w:t xml:space="preserve"> 7</w:t>
      </w:r>
      <w:r w:rsidR="006E7C92">
        <w:rPr>
          <w:lang w:val="en-US"/>
        </w:rPr>
        <w:t>)</w:t>
      </w:r>
      <w:r w:rsidR="00E824E4">
        <w:rPr>
          <w:lang w:val="en-US"/>
        </w:rPr>
        <w:t>, length</w:t>
      </w:r>
      <w:r w:rsidR="006E7C92">
        <w:rPr>
          <w:lang w:val="en-US"/>
        </w:rPr>
        <w:t xml:space="preserve"> </w:t>
      </w:r>
      <w:r w:rsidR="006E7C92">
        <w:rPr>
          <w:lang w:val="en-US"/>
        </w:rPr>
        <w:t>(</w:t>
      </w:r>
      <w:r w:rsidR="006E7C92" w:rsidRPr="006E7C92">
        <w:rPr>
          <w:i/>
          <w:lang w:val="en-US"/>
        </w:rPr>
        <w:t>M</w:t>
      </w:r>
      <w:r w:rsidR="006E7C92">
        <w:rPr>
          <w:lang w:val="en-US"/>
        </w:rPr>
        <w:t xml:space="preserve"> = </w:t>
      </w:r>
      <w:r w:rsidR="0011052B">
        <w:rPr>
          <w:lang w:val="en-US"/>
        </w:rPr>
        <w:t>7.0</w:t>
      </w:r>
      <w:r w:rsidR="006E7C92">
        <w:rPr>
          <w:lang w:val="en-US"/>
        </w:rPr>
        <w:t xml:space="preserve">, range = </w:t>
      </w:r>
      <w:r w:rsidR="0011052B">
        <w:rPr>
          <w:lang w:val="en-US"/>
        </w:rPr>
        <w:t>3</w:t>
      </w:r>
      <w:r w:rsidR="0011052B">
        <w:rPr>
          <w:lang w:val="en-US"/>
        </w:rPr>
        <w:t xml:space="preserve"> – </w:t>
      </w:r>
      <w:r w:rsidR="0011052B">
        <w:rPr>
          <w:lang w:val="en-US"/>
        </w:rPr>
        <w:t>12</w:t>
      </w:r>
      <w:r w:rsidR="006E7C92">
        <w:rPr>
          <w:lang w:val="en-US"/>
        </w:rPr>
        <w:t>)</w:t>
      </w:r>
      <w:r w:rsidR="00E824E4">
        <w:rPr>
          <w:lang w:val="en-US"/>
        </w:rPr>
        <w:t>, and orthographic neighborhood</w:t>
      </w:r>
      <w:r w:rsidR="008F689E">
        <w:rPr>
          <w:lang w:val="en-US"/>
        </w:rPr>
        <w:t xml:space="preserve"> (</w:t>
      </w:r>
      <w:r w:rsidR="006E7C92" w:rsidRPr="006E7C92">
        <w:rPr>
          <w:i/>
          <w:lang w:val="en-US"/>
        </w:rPr>
        <w:t>M</w:t>
      </w:r>
      <w:r w:rsidR="0011052B">
        <w:rPr>
          <w:lang w:val="en-US"/>
        </w:rPr>
        <w:t xml:space="preserve"> = 1.2, range = 0</w:t>
      </w:r>
      <w:r w:rsidR="0011052B">
        <w:rPr>
          <w:lang w:val="en-US"/>
        </w:rPr>
        <w:t xml:space="preserve"> –</w:t>
      </w:r>
      <w:r w:rsidR="0011052B">
        <w:rPr>
          <w:lang w:val="en-US"/>
        </w:rPr>
        <w:t xml:space="preserve"> 14;</w:t>
      </w:r>
      <w:r w:rsidR="00BD1DA2">
        <w:rPr>
          <w:lang w:val="en-US"/>
        </w:rPr>
        <w:t xml:space="preserve"> </w:t>
      </w:r>
      <w:r w:rsidR="008F689E">
        <w:rPr>
          <w:lang w:val="en-US"/>
        </w:rPr>
        <w:t xml:space="preserve">measured </w:t>
      </w:r>
      <w:r w:rsidR="00BD1DA2">
        <w:rPr>
          <w:lang w:val="en-US"/>
        </w:rPr>
        <w:t>with</w:t>
      </w:r>
      <w:r w:rsidR="008F689E">
        <w:rPr>
          <w:lang w:val="en-US"/>
        </w:rPr>
        <w:t xml:space="preserve"> </w:t>
      </w:r>
      <w:r w:rsidR="00606F5B">
        <w:rPr>
          <w:lang w:val="en-US"/>
        </w:rPr>
        <w:t>Coltheart’s N</w:t>
      </w:r>
      <w:r w:rsidR="008F689E">
        <w:rPr>
          <w:lang w:val="en-US"/>
        </w:rPr>
        <w:t>; Coltheart, 1981)</w:t>
      </w:r>
      <w:r w:rsidR="00E824E4">
        <w:rPr>
          <w:lang w:val="en-US"/>
        </w:rPr>
        <w:t xml:space="preserve"> were matched across languages</w:t>
      </w:r>
      <w:r w:rsidR="004C4F81">
        <w:rPr>
          <w:lang w:val="en-US"/>
        </w:rPr>
        <w:t>,</w:t>
      </w:r>
      <w:r w:rsidR="00E824E4">
        <w:rPr>
          <w:lang w:val="en-US"/>
        </w:rPr>
        <w:t xml:space="preserve"> </w:t>
      </w:r>
      <w:r w:rsidR="004C4F81">
        <w:rPr>
          <w:lang w:val="en-US"/>
        </w:rPr>
        <w:t>semantic classifications</w:t>
      </w:r>
      <w:r w:rsidR="0062405D">
        <w:rPr>
          <w:lang w:val="en-US"/>
        </w:rPr>
        <w:t>, and median splits on frequency and concreteness</w:t>
      </w:r>
      <w:r w:rsidR="008F689E">
        <w:rPr>
          <w:lang w:val="en-US"/>
        </w:rPr>
        <w:t xml:space="preserve"> (</w:t>
      </w:r>
      <w:r w:rsidR="008F689E" w:rsidRPr="008F689E">
        <w:rPr>
          <w:i/>
          <w:lang w:val="en-US"/>
        </w:rPr>
        <w:t>p</w:t>
      </w:r>
      <w:r w:rsidR="008F689E">
        <w:rPr>
          <w:lang w:val="en-US"/>
        </w:rPr>
        <w:t>s &gt; .14</w:t>
      </w:r>
      <w:r w:rsidR="00BD1DA2">
        <w:rPr>
          <w:lang w:val="en-US"/>
        </w:rPr>
        <w:t>; Table YYY</w:t>
      </w:r>
      <w:r w:rsidR="008F689E">
        <w:rPr>
          <w:lang w:val="en-US"/>
        </w:rPr>
        <w:t xml:space="preserve">). </w:t>
      </w:r>
    </w:p>
    <w:p w:rsidR="0020565B" w:rsidRDefault="00FE6A07" w:rsidP="00BD1DA2">
      <w:pPr>
        <w:rPr>
          <w:lang w:val="en-US"/>
        </w:rPr>
      </w:pPr>
      <w:r>
        <w:rPr>
          <w:lang w:val="en-US"/>
        </w:rPr>
        <w:t xml:space="preserve">Table XXX. </w:t>
      </w:r>
      <w:r w:rsidR="0062405D">
        <w:rPr>
          <w:lang w:val="en-US"/>
        </w:rPr>
        <w:t>Means and standard deviations</w:t>
      </w:r>
      <w:r w:rsidR="00BD1DA2">
        <w:rPr>
          <w:lang w:val="en-US"/>
        </w:rPr>
        <w:t xml:space="preserve"> of frequency </w:t>
      </w:r>
      <w:r w:rsidR="0062405D">
        <w:rPr>
          <w:lang w:val="en-US"/>
        </w:rPr>
        <w:t xml:space="preserve">(log per million) </w:t>
      </w:r>
      <w:r w:rsidR="00BD1DA2">
        <w:rPr>
          <w:lang w:val="en-US"/>
        </w:rPr>
        <w:t>and concreteness</w:t>
      </w:r>
      <w:r w:rsidR="0062405D">
        <w:rPr>
          <w:lang w:val="en-US"/>
        </w:rPr>
        <w:t xml:space="preserve"> (scale of 1-7) across median splits of each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425"/>
        <w:gridCol w:w="1216"/>
        <w:gridCol w:w="1425"/>
      </w:tblGrid>
      <w:tr w:rsidR="0062405D" w:rsidTr="0062405D"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</w:tcPr>
          <w:p w:rsidR="002B395A" w:rsidRPr="004C4F81" w:rsidRDefault="002B395A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Frequency</w:t>
            </w:r>
          </w:p>
        </w:tc>
        <w:tc>
          <w:tcPr>
            <w:tcW w:w="1425" w:type="dxa"/>
            <w:tcBorders>
              <w:left w:val="nil"/>
              <w:bottom w:val="single" w:sz="4" w:space="0" w:color="auto"/>
              <w:right w:val="nil"/>
            </w:tcBorders>
          </w:tcPr>
          <w:p w:rsidR="002B395A" w:rsidRPr="004C4F81" w:rsidRDefault="002B395A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Concreteness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</w:tcPr>
          <w:p w:rsidR="002B395A" w:rsidRPr="004C4F81" w:rsidRDefault="002B395A" w:rsidP="0062405D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Frequency</w:t>
            </w:r>
          </w:p>
        </w:tc>
        <w:tc>
          <w:tcPr>
            <w:tcW w:w="1425" w:type="dxa"/>
            <w:tcBorders>
              <w:left w:val="nil"/>
              <w:bottom w:val="single" w:sz="4" w:space="0" w:color="auto"/>
              <w:right w:val="nil"/>
            </w:tcBorders>
          </w:tcPr>
          <w:p w:rsidR="002B395A" w:rsidRPr="004C4F81" w:rsidRDefault="002B395A" w:rsidP="0062405D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Concreteness</w:t>
            </w:r>
          </w:p>
        </w:tc>
      </w:tr>
      <w:tr w:rsidR="0062405D" w:rsidTr="0062405D">
        <w:tc>
          <w:tcPr>
            <w:tcW w:w="1153" w:type="dxa"/>
            <w:vMerge w:val="restart"/>
            <w:tcBorders>
              <w:left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425" w:type="dxa"/>
            <w:tcBorders>
              <w:left w:val="nil"/>
              <w:bottom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</w:tcPr>
          <w:p w:rsidR="002B395A" w:rsidRDefault="002B395A" w:rsidP="008D6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  <w:r w:rsidR="00BD1DA2">
              <w:rPr>
                <w:lang w:val="en-US"/>
              </w:rPr>
              <w:t xml:space="preserve"> (.</w:t>
            </w:r>
            <w:r w:rsidR="008D6883">
              <w:rPr>
                <w:lang w:val="en-US"/>
              </w:rPr>
              <w:t>28</w:t>
            </w:r>
            <w:r w:rsidR="00BD1DA2">
              <w:rPr>
                <w:lang w:val="en-US"/>
              </w:rPr>
              <w:t>)</w:t>
            </w:r>
          </w:p>
        </w:tc>
        <w:tc>
          <w:tcPr>
            <w:tcW w:w="1425" w:type="dxa"/>
            <w:tcBorders>
              <w:left w:val="nil"/>
              <w:bottom w:val="nil"/>
              <w:right w:val="nil"/>
            </w:tcBorders>
          </w:tcPr>
          <w:p w:rsidR="002B395A" w:rsidRDefault="002B395A" w:rsidP="000E2B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rPr>
                <w:lang w:val="en-US"/>
              </w:rPr>
              <w:t>0</w:t>
            </w:r>
            <w:r w:rsidR="008D6883">
              <w:rPr>
                <w:lang w:val="en-US"/>
              </w:rPr>
              <w:t xml:space="preserve"> (.</w:t>
            </w:r>
            <w:r w:rsidR="000E2BF0">
              <w:rPr>
                <w:lang w:val="en-US"/>
              </w:rPr>
              <w:t>47</w:t>
            </w:r>
            <w:r w:rsidR="008D6883">
              <w:rPr>
                <w:lang w:val="en-US"/>
              </w:rPr>
              <w:t>)</w:t>
            </w:r>
          </w:p>
        </w:tc>
      </w:tr>
      <w:tr w:rsidR="0062405D" w:rsidTr="0062405D">
        <w:tc>
          <w:tcPr>
            <w:tcW w:w="1153" w:type="dxa"/>
            <w:vMerge/>
            <w:tcBorders>
              <w:left w:val="nil"/>
              <w:bottom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2B395A" w:rsidRDefault="002B395A" w:rsidP="000E2B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E2BF0">
              <w:rPr>
                <w:lang w:val="en-US"/>
              </w:rPr>
              <w:t>7</w:t>
            </w:r>
            <w:r w:rsidR="00BD1DA2">
              <w:rPr>
                <w:lang w:val="en-US"/>
              </w:rPr>
              <w:t xml:space="preserve"> (.</w:t>
            </w:r>
            <w:r w:rsidR="000E2BF0">
              <w:rPr>
                <w:lang w:val="en-US"/>
              </w:rPr>
              <w:t>57</w:t>
            </w:r>
            <w:r w:rsidR="00BD1DA2">
              <w:rPr>
                <w:lang w:val="en-US"/>
              </w:rPr>
              <w:t>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B395A" w:rsidRDefault="002B395A" w:rsidP="000E2B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8D6883">
              <w:rPr>
                <w:lang w:val="en-US"/>
              </w:rPr>
              <w:t>6 (.</w:t>
            </w:r>
            <w:r w:rsidR="000E2BF0">
              <w:rPr>
                <w:lang w:val="en-US"/>
              </w:rPr>
              <w:t>46</w:t>
            </w:r>
            <w:r w:rsidR="008D6883">
              <w:rPr>
                <w:lang w:val="en-US"/>
              </w:rPr>
              <w:t>)</w:t>
            </w:r>
          </w:p>
        </w:tc>
      </w:tr>
      <w:tr w:rsidR="0062405D" w:rsidTr="0062405D">
        <w:tc>
          <w:tcPr>
            <w:tcW w:w="1153" w:type="dxa"/>
            <w:vMerge w:val="restart"/>
            <w:tcBorders>
              <w:top w:val="nil"/>
              <w:left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:rsidR="002B395A" w:rsidRDefault="002B395A" w:rsidP="000E2B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rPr>
                <w:lang w:val="en-US"/>
              </w:rPr>
              <w:t>0</w:t>
            </w:r>
            <w:r w:rsidR="008D6883">
              <w:rPr>
                <w:lang w:val="en-US"/>
              </w:rPr>
              <w:t xml:space="preserve"> (.</w:t>
            </w:r>
            <w:r w:rsidR="000E2BF0">
              <w:rPr>
                <w:lang w:val="en-US"/>
              </w:rPr>
              <w:t>24</w:t>
            </w:r>
            <w:r w:rsidR="008D6883">
              <w:rPr>
                <w:lang w:val="en-US"/>
              </w:rPr>
              <w:t>)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  <w:r w:rsidR="008D6883">
              <w:rPr>
                <w:lang w:val="en-US"/>
              </w:rPr>
              <w:t xml:space="preserve"> (.4</w:t>
            </w:r>
            <w:r w:rsidR="000E2BF0">
              <w:rPr>
                <w:lang w:val="en-US"/>
              </w:rPr>
              <w:t>0</w:t>
            </w:r>
            <w:r w:rsidR="008D6883">
              <w:rPr>
                <w:lang w:val="en-US"/>
              </w:rPr>
              <w:t>)</w:t>
            </w:r>
          </w:p>
        </w:tc>
      </w:tr>
      <w:tr w:rsidR="0062405D" w:rsidTr="0062405D">
        <w:tc>
          <w:tcPr>
            <w:tcW w:w="1153" w:type="dxa"/>
            <w:vMerge/>
            <w:tcBorders>
              <w:left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</w:tcPr>
          <w:p w:rsidR="002B395A" w:rsidRDefault="002B395A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</w:tcPr>
          <w:p w:rsidR="002B395A" w:rsidRDefault="002B395A" w:rsidP="008D6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.9</w:t>
            </w:r>
            <w:r w:rsidR="008D6883">
              <w:rPr>
                <w:lang w:val="en-US"/>
              </w:rPr>
              <w:t>2 (.23)</w:t>
            </w:r>
          </w:p>
        </w:tc>
        <w:tc>
          <w:tcPr>
            <w:tcW w:w="1425" w:type="dxa"/>
            <w:tcBorders>
              <w:top w:val="nil"/>
              <w:left w:val="nil"/>
              <w:right w:val="nil"/>
            </w:tcBorders>
          </w:tcPr>
          <w:p w:rsidR="002B395A" w:rsidRDefault="002B395A" w:rsidP="000E2B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8D6883">
              <w:rPr>
                <w:lang w:val="en-US"/>
              </w:rPr>
              <w:t>5 (.</w:t>
            </w:r>
            <w:r w:rsidR="000E2BF0">
              <w:rPr>
                <w:lang w:val="en-US"/>
              </w:rPr>
              <w:t>38</w:t>
            </w:r>
            <w:r w:rsidR="008D6883">
              <w:rPr>
                <w:lang w:val="en-US"/>
              </w:rPr>
              <w:t>)</w:t>
            </w:r>
          </w:p>
        </w:tc>
      </w:tr>
    </w:tbl>
    <w:p w:rsidR="00BD1DA2" w:rsidRDefault="00BD1DA2" w:rsidP="004C4F81">
      <w:pPr>
        <w:spacing w:before="240"/>
        <w:rPr>
          <w:lang w:val="en-US"/>
        </w:rPr>
      </w:pPr>
      <w:r>
        <w:rPr>
          <w:lang w:val="en-US"/>
        </w:rPr>
        <w:t xml:space="preserve">Table </w:t>
      </w:r>
      <w:r>
        <w:rPr>
          <w:lang w:val="en-US"/>
        </w:rPr>
        <w:t>YYY</w:t>
      </w:r>
      <w:r>
        <w:rPr>
          <w:lang w:val="en-US"/>
        </w:rPr>
        <w:t xml:space="preserve">. </w:t>
      </w:r>
      <w:r w:rsidR="0062405D">
        <w:rPr>
          <w:lang w:val="en-US"/>
        </w:rPr>
        <w:t xml:space="preserve">Frequency (log per million), concreteness (scale of 1-7), length (characters), and orthographic neighborhood (Coltheart’s N) means and standard deviations </w:t>
      </w:r>
      <w:r>
        <w:rPr>
          <w:lang w:val="en-US"/>
        </w:rPr>
        <w:t>across languages and semantic classifications</w:t>
      </w:r>
      <w:r w:rsidR="0062405D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992"/>
        <w:gridCol w:w="1134"/>
      </w:tblGrid>
      <w:tr w:rsidR="0020565B" w:rsidTr="00873E42">
        <w:tc>
          <w:tcPr>
            <w:tcW w:w="2093" w:type="dxa"/>
            <w:tcBorders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0565B" w:rsidRPr="004C4F81" w:rsidRDefault="0020565B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Basque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:rsidR="0020565B" w:rsidRPr="004C4F81" w:rsidRDefault="0020565B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Spanish</w:t>
            </w:r>
          </w:p>
        </w:tc>
      </w:tr>
      <w:tr w:rsidR="00873E42" w:rsidTr="00873E42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20565B" w:rsidRPr="004C4F81" w:rsidRDefault="0020565B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Living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20565B" w:rsidRPr="004C4F81" w:rsidRDefault="0020565B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Nonliving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20565B" w:rsidRPr="004C4F81" w:rsidRDefault="0020565B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Living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20565B" w:rsidRPr="004C4F81" w:rsidRDefault="0020565B" w:rsidP="00BD1DA2">
            <w:pPr>
              <w:jc w:val="center"/>
              <w:rPr>
                <w:lang w:val="en-US"/>
              </w:rPr>
            </w:pPr>
            <w:r w:rsidRPr="004C4F81">
              <w:rPr>
                <w:lang w:val="en-US"/>
              </w:rPr>
              <w:t>Nonliving</w:t>
            </w:r>
          </w:p>
        </w:tc>
      </w:tr>
      <w:tr w:rsidR="00873E42" w:rsidTr="00873E42">
        <w:tc>
          <w:tcPr>
            <w:tcW w:w="2093" w:type="dxa"/>
            <w:tcBorders>
              <w:left w:val="nil"/>
              <w:bottom w:val="nil"/>
              <w:right w:val="nil"/>
            </w:tcBorders>
          </w:tcPr>
          <w:p w:rsidR="0020565B" w:rsidRPr="004C4F81" w:rsidRDefault="0020565B" w:rsidP="00873E42">
            <w:pPr>
              <w:rPr>
                <w:lang w:val="en-US"/>
              </w:rPr>
            </w:pPr>
            <w:r w:rsidRPr="004C4F81">
              <w:rPr>
                <w:lang w:val="en-US"/>
              </w:rPr>
              <w:t>Frequency</w:t>
            </w:r>
            <w:r w:rsidRPr="004C4F81">
              <w:rPr>
                <w:lang w:val="en-US"/>
              </w:rPr>
              <w:t xml:space="preserve"> </w:t>
            </w:r>
            <w:r w:rsidR="000E2BF0" w:rsidRPr="004C4F81">
              <w:rPr>
                <w:lang w:val="en-US"/>
              </w:rPr>
              <w:t>(log/mil</w:t>
            </w:r>
            <w:r w:rsidRPr="004C4F81">
              <w:rPr>
                <w:lang w:val="en-US"/>
              </w:rPr>
              <w:t>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B279F">
              <w:rPr>
                <w:lang w:val="en-US"/>
              </w:rPr>
              <w:t>3</w:t>
            </w:r>
            <w:r w:rsidR="000E2BF0">
              <w:rPr>
                <w:lang w:val="en-US"/>
              </w:rPr>
              <w:t xml:space="preserve"> (.53)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B279F">
              <w:rPr>
                <w:lang w:val="en-US"/>
              </w:rPr>
              <w:t>3</w:t>
            </w:r>
            <w:r w:rsidR="008D6883">
              <w:rPr>
                <w:lang w:val="en-US"/>
              </w:rPr>
              <w:t xml:space="preserve"> (.56)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B279F">
              <w:rPr>
                <w:lang w:val="en-US"/>
              </w:rPr>
              <w:t>3</w:t>
            </w:r>
            <w:r w:rsidR="000E2BF0">
              <w:rPr>
                <w:lang w:val="en-US"/>
              </w:rPr>
              <w:t xml:space="preserve"> (.44)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B279F">
              <w:rPr>
                <w:lang w:val="en-US"/>
              </w:rPr>
              <w:t>3</w:t>
            </w:r>
            <w:r w:rsidR="008D6883">
              <w:rPr>
                <w:lang w:val="en-US"/>
              </w:rPr>
              <w:t xml:space="preserve"> (.40)</w:t>
            </w:r>
          </w:p>
        </w:tc>
      </w:tr>
      <w:tr w:rsidR="00873E42" w:rsidTr="00873E4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20565B" w:rsidRPr="004C4F81" w:rsidRDefault="0020565B" w:rsidP="00873E42">
            <w:pPr>
              <w:rPr>
                <w:lang w:val="en-US"/>
              </w:rPr>
            </w:pPr>
            <w:r w:rsidRPr="004C4F81">
              <w:rPr>
                <w:lang w:val="en-US"/>
              </w:rPr>
              <w:t>Concreteness</w:t>
            </w:r>
            <w:r w:rsidRPr="004C4F81">
              <w:rPr>
                <w:lang w:val="en-US"/>
              </w:rPr>
              <w:t xml:space="preserve"> </w:t>
            </w:r>
            <w:r w:rsidRPr="004C4F81">
              <w:rPr>
                <w:lang w:val="en-US"/>
              </w:rPr>
              <w:t>(1-7)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8B279F">
              <w:rPr>
                <w:lang w:val="en-US"/>
              </w:rPr>
              <w:t>5</w:t>
            </w:r>
            <w:r w:rsidR="000E2BF0">
              <w:rPr>
                <w:lang w:val="en-US"/>
              </w:rPr>
              <w:t xml:space="preserve"> (.78)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</w:t>
            </w:r>
            <w:r w:rsidR="008D6883">
              <w:rPr>
                <w:lang w:val="en-US"/>
              </w:rPr>
              <w:t xml:space="preserve"> (.84)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  <w:r w:rsidR="000E2BF0">
              <w:rPr>
                <w:lang w:val="en-US"/>
              </w:rPr>
              <w:t xml:space="preserve"> (.75)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8B279F">
              <w:rPr>
                <w:lang w:val="en-US"/>
              </w:rPr>
              <w:t>3</w:t>
            </w:r>
            <w:r w:rsidR="008D6883">
              <w:rPr>
                <w:lang w:val="en-US"/>
              </w:rPr>
              <w:t xml:space="preserve"> (.90)</w:t>
            </w:r>
          </w:p>
        </w:tc>
      </w:tr>
      <w:tr w:rsidR="00873E42" w:rsidTr="00873E42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20565B" w:rsidRPr="004C4F81" w:rsidRDefault="0020565B" w:rsidP="00873E42">
            <w:pPr>
              <w:rPr>
                <w:lang w:val="en-US"/>
              </w:rPr>
            </w:pPr>
            <w:r w:rsidRPr="004C4F81">
              <w:rPr>
                <w:lang w:val="en-US"/>
              </w:rPr>
              <w:t>Length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8B279F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  <w:r w:rsidR="000E2BF0">
              <w:rPr>
                <w:lang w:val="en-US"/>
              </w:rPr>
              <w:t xml:space="preserve"> (1.8)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="008B279F">
              <w:rPr>
                <w:lang w:val="en-US"/>
              </w:rPr>
              <w:t>9</w:t>
            </w:r>
            <w:r w:rsidR="008D6883">
              <w:rPr>
                <w:lang w:val="en-US"/>
              </w:rPr>
              <w:t xml:space="preserve"> (1.6)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8B279F">
              <w:rPr>
                <w:lang w:val="en-US"/>
              </w:rPr>
              <w:t>2</w:t>
            </w:r>
            <w:r w:rsidR="000E2BF0">
              <w:rPr>
                <w:lang w:val="en-US"/>
              </w:rPr>
              <w:t xml:space="preserve"> (1.4)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</w:t>
            </w:r>
            <w:r w:rsidR="008D6883">
              <w:rPr>
                <w:lang w:val="en-US"/>
              </w:rPr>
              <w:t xml:space="preserve"> (1.5)</w:t>
            </w:r>
          </w:p>
        </w:tc>
      </w:tr>
      <w:tr w:rsidR="00873E42" w:rsidTr="00873E42">
        <w:tc>
          <w:tcPr>
            <w:tcW w:w="2093" w:type="dxa"/>
            <w:tcBorders>
              <w:top w:val="nil"/>
              <w:left w:val="nil"/>
              <w:right w:val="nil"/>
            </w:tcBorders>
          </w:tcPr>
          <w:p w:rsidR="0020565B" w:rsidRPr="004C4F81" w:rsidRDefault="0020565B" w:rsidP="00873E42">
            <w:pPr>
              <w:rPr>
                <w:lang w:val="en-US"/>
              </w:rPr>
            </w:pPr>
            <w:r w:rsidRPr="004C4F81">
              <w:rPr>
                <w:lang w:val="en-US"/>
              </w:rPr>
              <w:t>Neighborhood (N)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20565B" w:rsidRDefault="008B279F" w:rsidP="008D68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  <w:r w:rsidR="000E2BF0">
              <w:rPr>
                <w:lang w:val="en-US"/>
              </w:rPr>
              <w:t xml:space="preserve"> (2.3)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20565B" w:rsidRDefault="008B279F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  <w:r w:rsidR="008D6883">
              <w:rPr>
                <w:lang w:val="en-US"/>
              </w:rPr>
              <w:t xml:space="preserve"> </w:t>
            </w:r>
            <w:r w:rsidR="008D6883">
              <w:rPr>
                <w:lang w:val="en-US"/>
              </w:rPr>
              <w:t xml:space="preserve"> (2.2)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B279F">
              <w:rPr>
                <w:lang w:val="en-US"/>
              </w:rPr>
              <w:t>1</w:t>
            </w:r>
            <w:r w:rsidR="000E2BF0">
              <w:rPr>
                <w:lang w:val="en-US"/>
              </w:rPr>
              <w:t xml:space="preserve"> (1.2)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20565B" w:rsidRDefault="0020565B" w:rsidP="00BD1D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8D6883">
              <w:rPr>
                <w:lang w:val="en-US"/>
              </w:rPr>
              <w:t xml:space="preserve"> (1.7)</w:t>
            </w:r>
          </w:p>
        </w:tc>
      </w:tr>
    </w:tbl>
    <w:p w:rsidR="008F689E" w:rsidRPr="008F689E" w:rsidRDefault="008F689E" w:rsidP="004C4F81">
      <w:pPr>
        <w:spacing w:before="240"/>
        <w:rPr>
          <w:b/>
          <w:lang w:val="en-US"/>
        </w:rPr>
      </w:pPr>
      <w:r w:rsidRPr="008F689E">
        <w:rPr>
          <w:b/>
          <w:lang w:val="en-US"/>
        </w:rPr>
        <w:t>References</w:t>
      </w:r>
    </w:p>
    <w:p w:rsidR="008F689E" w:rsidRDefault="008F689E" w:rsidP="008F689E">
      <w:pPr>
        <w:ind w:left="284" w:hanging="284"/>
        <w:rPr>
          <w:lang w:val="en-US"/>
        </w:rPr>
      </w:pPr>
      <w:r w:rsidRPr="008F689E">
        <w:rPr>
          <w:lang w:val="en-US"/>
        </w:rPr>
        <w:t>Coltheart, M. (1981). The MRC psycholinguistic database. </w:t>
      </w:r>
      <w:r w:rsidRPr="008F689E">
        <w:rPr>
          <w:i/>
          <w:iCs/>
          <w:lang w:val="en-US"/>
        </w:rPr>
        <w:t>The Quarterly Journal of Experimental Psychology</w:t>
      </w:r>
      <w:r w:rsidRPr="008F689E">
        <w:rPr>
          <w:lang w:val="en-US"/>
        </w:rPr>
        <w:t>, </w:t>
      </w:r>
      <w:r w:rsidRPr="008F689E">
        <w:rPr>
          <w:i/>
          <w:iCs/>
          <w:lang w:val="en-US"/>
        </w:rPr>
        <w:t>33</w:t>
      </w:r>
      <w:r w:rsidRPr="008F689E">
        <w:rPr>
          <w:lang w:val="en-US"/>
        </w:rPr>
        <w:t>, 497-505.</w:t>
      </w:r>
      <w:r>
        <w:rPr>
          <w:lang w:val="en-US"/>
        </w:rPr>
        <w:t xml:space="preserve"> </w:t>
      </w:r>
    </w:p>
    <w:p w:rsidR="008F689E" w:rsidRPr="008F689E" w:rsidRDefault="008F689E" w:rsidP="008F689E">
      <w:pPr>
        <w:ind w:left="284" w:hanging="284"/>
        <w:rPr>
          <w:bCs/>
          <w:lang w:val="en-US"/>
        </w:rPr>
      </w:pPr>
      <w:r w:rsidRPr="008F689E">
        <w:rPr>
          <w:lang w:val="en-US"/>
        </w:rPr>
        <w:t>  </w:t>
      </w:r>
      <w:r w:rsidRPr="008F689E">
        <w:rPr>
          <w:bCs/>
          <w:lang w:val="en-US"/>
        </w:rPr>
        <w:t>Davis, C. J., &amp; Perea, M. (2005). BuscaPalabras: A program for deriving orthographic and phonological neighborhood statistics and other psycholinguistic indices in Spanish. </w:t>
      </w:r>
      <w:r w:rsidRPr="008F689E">
        <w:rPr>
          <w:bCs/>
          <w:i/>
          <w:iCs/>
          <w:lang w:val="en-US"/>
        </w:rPr>
        <w:t>Behavior Research Methods, 37</w:t>
      </w:r>
      <w:r w:rsidRPr="008F689E">
        <w:rPr>
          <w:bCs/>
          <w:lang w:val="en-US"/>
        </w:rPr>
        <w:t>, 665-671.</w:t>
      </w:r>
    </w:p>
    <w:p w:rsidR="008F689E" w:rsidRDefault="008F689E" w:rsidP="008F689E">
      <w:pPr>
        <w:ind w:left="284" w:hanging="284"/>
        <w:rPr>
          <w:lang w:val="en-US"/>
        </w:rPr>
      </w:pPr>
      <w:r w:rsidRPr="008F689E">
        <w:t>Duñabeitia, J.A., Ca</w:t>
      </w:r>
      <w:bookmarkStart w:id="0" w:name="_GoBack"/>
      <w:bookmarkEnd w:id="0"/>
      <w:r w:rsidRPr="008F689E">
        <w:t xml:space="preserve">saponsa, A., Dimitropoulou, M., Martí, A., Larraza, S., &amp; Carreiras, M. (In preparation). </w:t>
      </w:r>
      <w:r w:rsidRPr="008F689E">
        <w:rPr>
          <w:lang w:val="en-US"/>
        </w:rPr>
        <w:t>BaSp: A Basque-Spanish database of translation equivalents.</w:t>
      </w:r>
    </w:p>
    <w:p w:rsidR="008F689E" w:rsidRPr="008F689E" w:rsidRDefault="008F689E" w:rsidP="008F689E">
      <w:pPr>
        <w:ind w:left="284" w:hanging="284"/>
        <w:rPr>
          <w:lang w:val="en-US"/>
        </w:rPr>
      </w:pPr>
      <w:r w:rsidRPr="008F689E">
        <w:rPr>
          <w:bCs/>
        </w:rPr>
        <w:t xml:space="preserve">Perea, M., Urkia, M., Davis, C. J., Agirre, A., Laseka, E., &amp; Carreiras, M. (2006). </w:t>
      </w:r>
      <w:r w:rsidRPr="008F689E">
        <w:rPr>
          <w:bCs/>
          <w:lang w:val="en-GB"/>
        </w:rPr>
        <w:t>E-Hitz: A word-frequency list and a program for deriving psycholinguistic statistics in an agglutinative language (Basque). </w:t>
      </w:r>
      <w:r w:rsidRPr="008F689E">
        <w:rPr>
          <w:bCs/>
          <w:i/>
          <w:iCs/>
          <w:lang w:val="en-US"/>
        </w:rPr>
        <w:t>Behavior Research Methods</w:t>
      </w:r>
      <w:r w:rsidRPr="008F689E">
        <w:rPr>
          <w:bCs/>
          <w:lang w:val="en-US"/>
        </w:rPr>
        <w:t>, </w:t>
      </w:r>
      <w:r w:rsidRPr="008F689E">
        <w:rPr>
          <w:bCs/>
          <w:i/>
          <w:iCs/>
          <w:lang w:val="en-US"/>
        </w:rPr>
        <w:t>38</w:t>
      </w:r>
      <w:r w:rsidRPr="008F689E">
        <w:rPr>
          <w:bCs/>
          <w:lang w:val="en-US"/>
        </w:rPr>
        <w:t>, 610-615.</w:t>
      </w:r>
    </w:p>
    <w:sectPr w:rsidR="008F689E" w:rsidRPr="008F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07"/>
    <w:rsid w:val="000E2BF0"/>
    <w:rsid w:val="0011052B"/>
    <w:rsid w:val="0020565B"/>
    <w:rsid w:val="002B395A"/>
    <w:rsid w:val="004C4F81"/>
    <w:rsid w:val="005E61B4"/>
    <w:rsid w:val="00606F5B"/>
    <w:rsid w:val="0062405D"/>
    <w:rsid w:val="006E7C92"/>
    <w:rsid w:val="007E63E5"/>
    <w:rsid w:val="00873E42"/>
    <w:rsid w:val="008B279F"/>
    <w:rsid w:val="008D6883"/>
    <w:rsid w:val="008F689E"/>
    <w:rsid w:val="00BD1DA2"/>
    <w:rsid w:val="00E824E4"/>
    <w:rsid w:val="00E84EF4"/>
    <w:rsid w:val="00FE6A07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BCBL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 Hoversten</dc:creator>
  <cp:lastModifiedBy>Liv Hoversten</cp:lastModifiedBy>
  <cp:revision>4</cp:revision>
  <dcterms:created xsi:type="dcterms:W3CDTF">2020-01-09T09:40:00Z</dcterms:created>
  <dcterms:modified xsi:type="dcterms:W3CDTF">2020-01-09T13:22:00Z</dcterms:modified>
</cp:coreProperties>
</file>