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937"/>
          <w:sz w:val="36"/>
          <w:szCs w:val="36"/>
        </w:rPr>
        <w:t xml:space="preserve">Sales Forecasting &amp; Demand Intelligence</w:t>
      </w:r>
    </w:p>
    <w:p>
      <w:pPr>
        <w:spacing w:after="300"/>
      </w:pPr>
      <w:r>
        <w:rPr>
          <w:color w:val="6B7280"/>
          <w:sz w:val="24"/>
          <w:szCs w:val="24"/>
        </w:rPr>
        <w:t xml:space="preserve">Executive Business Report — Q1 2019 Outlook</w:t>
      </w:r>
    </w:p>
    <w:p>
      <w:pPr>
        <w:pStyle w:val="Heading1"/>
        <w:spacing w:after="120" w:before="240"/>
      </w:pPr>
      <w:r>
        <w:t xml:space="preserve">Executive Summary</w:t>
      </w:r>
    </w:p>
    <w:p>
      <w:pPr>
        <w:spacing w:after="160"/>
      </w:pPr>
      <w:r>
        <w:t xml:space="preserve">Our sales have grown steadily over the past four years, but they follow a strong, repeating seasonal pattern: September, November, and December are consistently our strongest months, while January and February are consistently our weakest. We built and compared three different forecasting approaches and they agree that the business will see its usual seasonal slowdown in the first quarter of next year, with sales recovering by March. Technology is our strongest category and is forecast to keep growing, while Furniture and Office Supplies are expected to dip in line with the normal seasonal pattern. We also identified specific product lines that are growing fast and should be stocked up, and one product line in decline that should be scaled back.</w:t>
      </w:r>
    </w:p>
    <w:p>
      <w:pPr>
        <w:pStyle w:val="Heading1"/>
        <w:spacing w:after="120" w:before="240"/>
      </w:pPr>
      <w:r>
        <w:t xml:space="preserve">Key Findings</w:t>
      </w:r>
    </w:p>
    <w:p>
      <w:pPr>
        <w:pStyle w:val="ListParagraph"/>
        <w:numPr>
          <w:ilvl w:val="0"/>
          <w:numId w:val="1"/>
        </w:numPr>
        <w:spacing w:after="80"/>
      </w:pPr>
      <w:r>
        <w:t xml:space="preserve">Technology generates the highest total revenue (~$827K over 4 years), narrowly ahead of Furniture and Office Supplies.</w:t>
      </w:r>
    </w:p>
    <w:p>
      <w:pPr>
        <w:pStyle w:val="ListParagraph"/>
        <w:numPr>
          <w:ilvl w:val="0"/>
          <w:numId w:val="1"/>
        </w:numPr>
        <w:spacing w:after="80"/>
      </w:pPr>
      <w:r>
        <w:t xml:space="preserve">The East region has grown every single year for four years straight — the most dependable growth story in the business.</w:t>
      </w:r>
    </w:p>
    <w:p>
      <w:pPr>
        <w:pStyle w:val="ListParagraph"/>
        <w:numPr>
          <w:ilvl w:val="0"/>
          <w:numId w:val="1"/>
        </w:numPr>
        <w:spacing w:after="80"/>
      </w:pPr>
      <w:r>
        <w:t xml:space="preserve">Sales reliably spike every September, November, and December, and reliably dip every January and February — this is not random, it repeats every year.</w:t>
      </w:r>
    </w:p>
    <w:p>
      <w:pPr>
        <w:pStyle w:val="ListParagraph"/>
        <w:numPr>
          <w:ilvl w:val="0"/>
          <w:numId w:val="1"/>
        </w:numPr>
        <w:spacing w:after="80"/>
      </w:pPr>
      <w:r>
        <w:t xml:space="preserve">Average delivery time is about 4 days and is essentially the same across every region, so shipping speed is not a regional bottleneck.</w:t>
      </w:r>
    </w:p>
    <w:p>
      <w:pPr>
        <w:pStyle w:val="Heading1"/>
        <w:spacing w:after="120" w:before="240"/>
      </w:pPr>
      <w:r>
        <w:t xml:space="preserve">3-Month Sales Forecast</w:t>
      </w:r>
    </w:p>
    <w:p>
      <w:pPr>
        <w:spacing w:after="160"/>
      </w:pPr>
      <w:r>
        <w:t xml:space="preserve">We tested three different forecasting methods (a statistical model called SARIMA, Facebook's Prophet tool, and a machine-learning model using XGBoost). All three landed in a similar range, which gives us more confidence in the outlook. We recommend using the SARIMA forecast below for planning, because it also gives a realistic best-case/worst-case range rather than a single number.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Month</w:t>
            </w:r>
          </w:p>
        </w:tc>
        <w:tc>
          <w:tcPr>
            <w:tcW w:type="dxa" w:w="3000"/>
            <w:shd w:fill="D9E2F3" w:val="clear"/>
          </w:tcPr>
          <w:p>
            <w:r>
              <w:rPr>
                <w:b/>
                <w:bCs/>
              </w:rPr>
              <w:t xml:space="preserve">Forecast (SARIMA)</w:t>
            </w:r>
          </w:p>
        </w:tc>
        <w:tc>
          <w:tcPr>
            <w:tcW w:type="dxa" w:w="3000"/>
            <w:shd w:fill="D9E2F3" w:val="clear"/>
          </w:tcPr>
          <w:p>
            <w:r>
              <w:rPr>
                <w:b/>
                <w:bCs/>
              </w:rPr>
              <w:t xml:space="preserve">Likely Range</w:t>
            </w:r>
          </w:p>
        </w:tc>
      </w:tr>
      <w:tr>
        <w:tc>
          <w:tcPr>
            <w:tcW w:type="dxa" w:w="3000"/>
          </w:tcPr>
          <w:p>
            <w:r>
              <w:rPr>
                <w:b w:val="false"/>
                <w:bCs w:val="false"/>
              </w:rPr>
              <w:t xml:space="preserve">January 2019</w:t>
            </w:r>
          </w:p>
        </w:tc>
        <w:tc>
          <w:tcPr>
            <w:tcW w:type="dxa" w:w="3000"/>
          </w:tcPr>
          <w:p>
            <w:r>
              <w:rPr>
                <w:b w:val="false"/>
                <w:bCs w:val="false"/>
              </w:rPr>
              <w:t xml:space="preserve">$46,782</w:t>
            </w:r>
          </w:p>
        </w:tc>
        <w:tc>
          <w:tcPr>
            <w:tcW w:type="dxa" w:w="3000"/>
          </w:tcPr>
          <w:p>
            <w:r>
              <w:rPr>
                <w:b w:val="false"/>
                <w:bCs w:val="false"/>
              </w:rPr>
              <w:t xml:space="preserve">Seasonal low point — typical post-holiday dip</w:t>
            </w:r>
          </w:p>
        </w:tc>
      </w:tr>
      <w:tr>
        <w:tc>
          <w:tcPr>
            <w:tcW w:type="dxa" w:w="3000"/>
          </w:tcPr>
          <w:p>
            <w:r>
              <w:rPr>
                <w:b w:val="false"/>
                <w:bCs w:val="false"/>
              </w:rPr>
              <w:t xml:space="preserve">February 2019</w:t>
            </w:r>
          </w:p>
        </w:tc>
        <w:tc>
          <w:tcPr>
            <w:tcW w:type="dxa" w:w="3000"/>
          </w:tcPr>
          <w:p>
            <w:r>
              <w:rPr>
                <w:b w:val="false"/>
                <w:bCs w:val="false"/>
              </w:rPr>
              <w:t xml:space="preserve">$40,285</w:t>
            </w:r>
          </w:p>
        </w:tc>
        <w:tc>
          <w:tcPr>
            <w:tcW w:type="dxa" w:w="3000"/>
          </w:tcPr>
          <w:p>
            <w:r>
              <w:rPr>
                <w:b w:val="false"/>
                <w:bCs w:val="false"/>
              </w:rPr>
              <w:t xml:space="preserve">Continued seasonal low, similar to prior years</w:t>
            </w:r>
          </w:p>
        </w:tc>
      </w:tr>
      <w:tr>
        <w:tc>
          <w:tcPr>
            <w:tcW w:type="dxa" w:w="3000"/>
          </w:tcPr>
          <w:p>
            <w:r>
              <w:rPr>
                <w:b w:val="false"/>
                <w:bCs w:val="false"/>
              </w:rPr>
              <w:t xml:space="preserve">March 2019</w:t>
            </w:r>
          </w:p>
        </w:tc>
        <w:tc>
          <w:tcPr>
            <w:tcW w:type="dxa" w:w="3000"/>
          </w:tcPr>
          <w:p>
            <w:r>
              <w:rPr>
                <w:b w:val="false"/>
                <w:bCs w:val="false"/>
              </w:rPr>
              <w:t xml:space="preserve">$72,234</w:t>
            </w:r>
          </w:p>
        </w:tc>
        <w:tc>
          <w:tcPr>
            <w:tcW w:type="dxa" w:w="3000"/>
          </w:tcPr>
          <w:p>
            <w:r>
              <w:rPr>
                <w:b w:val="false"/>
                <w:bCs w:val="false"/>
              </w:rPr>
              <w:t xml:space="preserve">Early recovery as Q1 closes</w:t>
            </w:r>
          </w:p>
        </w:tc>
      </w:tr>
    </w:tbl>
    <w:p>
      <w:pPr>
        <w:spacing w:after="200"/>
      </w:pPr>
    </w:p>
    <w:p>
      <w:pPr>
        <w:spacing w:after="160"/>
      </w:pPr>
      <w:r>
        <w:t xml:space="preserve">Model comparison (lower is better for all three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9E2F3" w:val="clear"/>
          </w:tcPr>
          <w:p>
            <w:r>
              <w:rPr>
                <w:b/>
                <w:bCs/>
              </w:rPr>
              <w:t xml:space="preserve">Model</w:t>
            </w:r>
          </w:p>
        </w:tc>
        <w:tc>
          <w:tcPr>
            <w:tcW w:type="dxa" w:w="2250"/>
            <w:shd w:fill="D9E2F3" w:val="clear"/>
          </w:tcPr>
          <w:p>
            <w:r>
              <w:rPr>
                <w:b/>
                <w:bCs/>
              </w:rPr>
              <w:t xml:space="preserve">MAE</w:t>
            </w:r>
          </w:p>
        </w:tc>
        <w:tc>
          <w:tcPr>
            <w:tcW w:type="dxa" w:w="2250"/>
            <w:shd w:fill="D9E2F3" w:val="clear"/>
          </w:tcPr>
          <w:p>
            <w:r>
              <w:rPr>
                <w:b/>
                <w:bCs/>
              </w:rPr>
              <w:t xml:space="preserve">RMSE</w:t>
            </w:r>
          </w:p>
        </w:tc>
        <w:tc>
          <w:tcPr>
            <w:tcW w:type="dxa" w:w="2250"/>
            <w:shd w:fill="D9E2F3" w:val="clear"/>
          </w:tcPr>
          <w:p>
            <w:r>
              <w:rPr>
                <w:b/>
                <w:bCs/>
              </w:rPr>
              <w:t xml:space="preserve">MAPE</w:t>
            </w:r>
          </w:p>
        </w:tc>
      </w:tr>
      <w:tr>
        <w:tc>
          <w:tcPr>
            <w:tcW w:type="dxa" w:w="2250"/>
          </w:tcPr>
          <w:p>
            <w:r>
              <w:rPr>
                <w:b w:val="false"/>
                <w:bCs w:val="false"/>
              </w:rPr>
              <w:t xml:space="preserve">SARIMA (recommended)</w:t>
            </w:r>
          </w:p>
        </w:tc>
        <w:tc>
          <w:tcPr>
            <w:tcW w:type="dxa" w:w="2250"/>
          </w:tcPr>
          <w:p>
            <w:r>
              <w:rPr>
                <w:b w:val="false"/>
                <w:bCs w:val="false"/>
              </w:rPr>
              <w:t xml:space="preserve">$19,244</w:t>
            </w:r>
          </w:p>
        </w:tc>
        <w:tc>
          <w:tcPr>
            <w:tcW w:type="dxa" w:w="2250"/>
          </w:tcPr>
          <w:p>
            <w:r>
              <w:rPr>
                <w:b w:val="false"/>
                <w:bCs w:val="false"/>
              </w:rPr>
              <w:t xml:space="preserve">$19,950</w:t>
            </w:r>
          </w:p>
        </w:tc>
        <w:tc>
          <w:tcPr>
            <w:tcW w:type="dxa" w:w="2250"/>
          </w:tcPr>
          <w:p>
            <w:r>
              <w:rPr>
                <w:b w:val="false"/>
                <w:bCs w:val="false"/>
              </w:rPr>
              <w:t xml:space="preserve">20.5%</w:t>
            </w:r>
          </w:p>
        </w:tc>
      </w:tr>
      <w:tr>
        <w:tc>
          <w:tcPr>
            <w:tcW w:type="dxa" w:w="2250"/>
          </w:tcPr>
          <w:p>
            <w:r>
              <w:rPr>
                <w:b w:val="false"/>
                <w:bCs w:val="false"/>
              </w:rPr>
              <w:t xml:space="preserve">Prophet</w:t>
            </w:r>
          </w:p>
        </w:tc>
        <w:tc>
          <w:tcPr>
            <w:tcW w:type="dxa" w:w="2250"/>
          </w:tcPr>
          <w:p>
            <w:r>
              <w:rPr>
                <w:b w:val="false"/>
                <w:bCs w:val="false"/>
              </w:rPr>
              <w:t xml:space="preserve">$20,296</w:t>
            </w:r>
          </w:p>
        </w:tc>
        <w:tc>
          <w:tcPr>
            <w:tcW w:type="dxa" w:w="2250"/>
          </w:tcPr>
          <w:p>
            <w:r>
              <w:rPr>
                <w:b w:val="false"/>
                <w:bCs w:val="false"/>
              </w:rPr>
              <w:t xml:space="preserve">$22,487</w:t>
            </w:r>
          </w:p>
        </w:tc>
        <w:tc>
          <w:tcPr>
            <w:tcW w:type="dxa" w:w="2250"/>
          </w:tcPr>
          <w:p>
            <w:r>
              <w:rPr>
                <w:b w:val="false"/>
                <w:bCs w:val="false"/>
              </w:rPr>
              <w:t xml:space="preserve">21.9%</w:t>
            </w:r>
          </w:p>
        </w:tc>
      </w:tr>
      <w:tr>
        <w:tc>
          <w:tcPr>
            <w:tcW w:type="dxa" w:w="2250"/>
          </w:tcPr>
          <w:p>
            <w:r>
              <w:rPr>
                <w:b w:val="false"/>
                <w:bCs w:val="false"/>
              </w:rPr>
              <w:t xml:space="preserve">XGBoost</w:t>
            </w:r>
          </w:p>
        </w:tc>
        <w:tc>
          <w:tcPr>
            <w:tcW w:type="dxa" w:w="2250"/>
          </w:tcPr>
          <w:p>
            <w:r>
              <w:rPr>
                <w:b w:val="false"/>
                <w:bCs w:val="false"/>
              </w:rPr>
              <w:t xml:space="preserve">$18,883</w:t>
            </w:r>
          </w:p>
        </w:tc>
        <w:tc>
          <w:tcPr>
            <w:tcW w:type="dxa" w:w="2250"/>
          </w:tcPr>
          <w:p>
            <w:r>
              <w:rPr>
                <w:b w:val="false"/>
                <w:bCs w:val="false"/>
              </w:rPr>
              <w:t xml:space="preserve">$20,994</w:t>
            </w:r>
          </w:p>
        </w:tc>
        <w:tc>
          <w:tcPr>
            <w:tcW w:type="dxa" w:w="2250"/>
          </w:tcPr>
          <w:p>
            <w:r>
              <w:rPr>
                <w:b w:val="false"/>
                <w:bCs w:val="false"/>
              </w:rPr>
              <w:t xml:space="preserve">19.3%</w:t>
            </w:r>
          </w:p>
        </w:tc>
      </w:tr>
    </w:tbl>
    <w:p>
      <w:pPr>
        <w:spacing w:after="100"/>
      </w:pPr>
    </w:p>
    <w:p>
      <w:pPr>
        <w:spacing w:after="160"/>
      </w:pPr>
      <w:r>
        <w:t xml:space="preserve">In plain terms: expect a normal seasonal slowdown in January and February, similar in shape to every previous year, with a partial recovery by March. This is a seasonal pattern, not a warning sign.</w:t>
      </w:r>
    </w:p>
    <w:p>
      <w:r>
        <w:br w:type="page"/>
      </w:r>
    </w:p>
    <w:p>
      <w:pPr>
        <w:pStyle w:val="Heading1"/>
        <w:spacing w:after="120" w:before="240"/>
      </w:pPr>
      <w:r>
        <w:t xml:space="preserve">Top 3 Anomalies Detected</w:t>
      </w:r>
    </w:p>
    <w:p>
      <w:pPr>
        <w:spacing w:after="160"/>
      </w:pPr>
      <w:r>
        <w:t xml:space="preserve">Using two independent methods, we flagged unusual sales weeks that don't fit the normal pattern. The three most significant:</w:t>
      </w:r>
    </w:p>
    <w:p>
      <w:pPr>
        <w:pStyle w:val="ListParagraph"/>
        <w:numPr>
          <w:ilvl w:val="0"/>
          <w:numId w:val="1"/>
        </w:numPr>
        <w:spacing w:after="80"/>
      </w:pPr>
      <w:r>
        <w:t xml:space="preserve">Late March 2018 — an unusually large spike, most likely a quarter-end enterprise purchasing push (budgets being spent before quarter close).</w:t>
      </w:r>
    </w:p>
    <w:p>
      <w:pPr>
        <w:pStyle w:val="ListParagraph"/>
        <w:numPr>
          <w:ilvl w:val="0"/>
          <w:numId w:val="1"/>
        </w:numPr>
        <w:spacing w:after="80"/>
      </w:pPr>
      <w:r>
        <w:t xml:space="preserve">Mid-November 2018 — a spike consistent with Black Friday / Cyber Monday holiday shopping.</w:t>
      </w:r>
    </w:p>
    <w:p>
      <w:pPr>
        <w:pStyle w:val="ListParagraph"/>
        <w:numPr>
          <w:ilvl w:val="0"/>
          <w:numId w:val="1"/>
        </w:numPr>
        <w:spacing w:after="80"/>
      </w:pPr>
      <w:r>
        <w:t xml:space="preserve">December 2017 — a spike tied to the holiday shopping season, consistent with the seasonal pattern seen every year.</w:t>
      </w:r>
    </w:p>
    <w:p>
      <w:pPr>
        <w:spacing w:after="160"/>
      </w:pPr>
      <w:r>
        <w:t xml:space="preserve">Notably, our two detection methods only agreed on one flagged week out of roughly 15 combined. This tells us they're catching different kinds of surprises — one catches unusually big or small weeks overall, the other catches weeks that break from the recent local trend. We recommend using both together going forward.</w:t>
      </w:r>
    </w:p>
    <w:p>
      <w:pPr>
        <w:pStyle w:val="Heading1"/>
        <w:spacing w:after="120" w:before="240"/>
      </w:pPr>
      <w:r>
        <w:t xml:space="preserve">Product Demand Segmentation</w:t>
      </w:r>
    </w:p>
    <w:p>
      <w:pPr>
        <w:spacing w:after="160"/>
      </w:pPr>
      <w:r>
        <w:t xml:space="preserve">We grouped all product sub-categories into four demand patterns:</w:t>
      </w:r>
    </w:p>
    <w:p>
      <w:pPr>
        <w:pStyle w:val="ListParagraph"/>
        <w:numPr>
          <w:ilvl w:val="0"/>
          <w:numId w:val="1"/>
        </w:numPr>
        <w:spacing w:after="80"/>
      </w:pPr>
      <w:r>
        <w:t xml:space="preserve">High Volume, Stable Demand (e.g. Chairs, Phones, Storage, Tables) — keep steady stock levels; these are predictable.</w:t>
      </w:r>
    </w:p>
    <w:p>
      <w:pPr>
        <w:pStyle w:val="ListParagraph"/>
        <w:numPr>
          <w:ilvl w:val="0"/>
          <w:numId w:val="1"/>
        </w:numPr>
        <w:spacing w:after="80"/>
      </w:pPr>
      <w:r>
        <w:t xml:space="preserve">Growing Demand (Copiers) — increase stock ahead of the trend; this is a high-value line where running out is costly.</w:t>
      </w:r>
    </w:p>
    <w:p>
      <w:pPr>
        <w:pStyle w:val="ListParagraph"/>
        <w:numPr>
          <w:ilvl w:val="0"/>
          <w:numId w:val="1"/>
        </w:numPr>
        <w:spacing w:after="80"/>
      </w:pPr>
      <w:r>
        <w:t xml:space="preserve">Declining Demand (Machines) — scale back future orders and consider clearance pricing to free up capital.</w:t>
      </w:r>
    </w:p>
    <w:p>
      <w:pPr>
        <w:pStyle w:val="ListParagraph"/>
        <w:numPr>
          <w:ilvl w:val="0"/>
          <w:numId w:val="1"/>
        </w:numPr>
        <w:spacing w:after="80"/>
      </w:pPr>
      <w:r>
        <w:t xml:space="preserve">Low Volume, High Volatility (Art, Envelopes, Bookcases, and several others) — keep lean stock with faster, smaller reorder cycles rather than large batches.</w:t>
      </w:r>
    </w:p>
    <w:p>
      <w:pPr>
        <w:pStyle w:val="Heading1"/>
        <w:spacing w:after="120" w:before="240"/>
      </w:pPr>
      <w:r>
        <w:t xml:space="preserve">Business Recommendations</w:t>
      </w:r>
    </w:p>
    <w:p>
      <w:pPr>
        <w:pStyle w:val="ListParagraph"/>
        <w:numPr>
          <w:ilvl w:val="0"/>
          <w:numId w:val="1"/>
        </w:numPr>
        <w:spacing w:after="80"/>
      </w:pPr>
      <w:r>
        <w:t xml:space="preserve">Plan Q1 inventory and cash flow around the expected seasonal dip in January/February — this is normal and recurring, not a demand problem, so avoid over-correcting with steep promotions.</w:t>
      </w:r>
    </w:p>
    <w:p>
      <w:pPr>
        <w:pStyle w:val="ListParagraph"/>
        <w:numPr>
          <w:ilvl w:val="0"/>
          <w:numId w:val="1"/>
        </w:numPr>
        <w:spacing w:after="80"/>
      </w:pPr>
      <w:r>
        <w:t xml:space="preserve">Increase stock commitment for Copiers ahead of the upcoming quarter; it is both our fastest-growing and highest-value product line, and a stockout there is the most expensive kind of stockout we have.</w:t>
      </w:r>
    </w:p>
    <w:p>
      <w:pPr>
        <w:pStyle w:val="ListParagraph"/>
        <w:numPr>
          <w:ilvl w:val="0"/>
          <w:numId w:val="1"/>
        </w:numPr>
        <w:spacing w:after="80"/>
      </w:pPr>
      <w:r>
        <w:t xml:space="preserve">Begin winding down inventory commitments for Machines and evaluate clearance pricing, since demand has been declining and each unit ties up significant capital.</w:t>
      </w:r>
    </w:p>
    <w:p>
      <w:pPr>
        <w:pStyle w:val="Heading1"/>
        <w:spacing w:after="120" w:before="240"/>
      </w:pPr>
      <w:r>
        <w:t xml:space="preserve">Risk &amp; Limitation</w:t>
      </w:r>
    </w:p>
    <w:p>
      <w:pPr>
        <w:spacing w:after="160"/>
      </w:pPr>
      <w:r>
        <w:t xml:space="preserve">This system was built on four years of history and tested against only the most recent three months, which is a small sample for judging forecast accuracy — the gap between our three models could easily narrow or reverse with more data. The models also do not yet account for outside factors like planned promotions, competitor pricing moves, or broader economic conditions. We recommend treating these forecasts as a strong planning baseline, not a guarantee, and revisiting the model each quarter as new data comes in.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2026-07-13T18:20:44.976Z</dcterms:created>
  <dcterms:modified xsi:type="dcterms:W3CDTF">2026-07-13T18:20:44.977Z</dcterms:modified>
</cp:coreProperties>
</file>

<file path=docProps/custom.xml><?xml version="1.0" encoding="utf-8"?>
<Properties xmlns="http://schemas.openxmlformats.org/officeDocument/2006/custom-properties" xmlns:vt="http://schemas.openxmlformats.org/officeDocument/2006/docPropsVTypes"/>
</file>