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C323B" w14:textId="77777777" w:rsidR="006F27A6" w:rsidRDefault="00AD1B0E">
      <w:pPr>
        <w:spacing w:after="60"/>
        <w:jc w:val="center"/>
      </w:pPr>
      <w:r>
        <w:rPr>
          <w:b/>
          <w:bCs/>
          <w:color w:val="1F3864"/>
          <w:sz w:val="36"/>
          <w:szCs w:val="36"/>
        </w:rPr>
        <w:t>AML Transaction &amp; Fraud Analysis – Business Insight Report</w:t>
      </w:r>
    </w:p>
    <w:p w14:paraId="4DFFDBCC" w14:textId="77777777" w:rsidR="006F27A6" w:rsidRDefault="00AD1B0E">
      <w:pPr>
        <w:pBdr>
          <w:bottom w:val="single" w:sz="8" w:space="6" w:color="1F3864"/>
        </w:pBdr>
        <w:spacing w:after="160"/>
        <w:jc w:val="center"/>
      </w:pPr>
      <w:r>
        <w:rPr>
          <w:color w:val="404040"/>
          <w:sz w:val="20"/>
          <w:szCs w:val="20"/>
        </w:rPr>
        <w:t>Prepared by: Monish Kumar N (Reg. No. 5272510212)  |  B.Com Fintech with AI  |  26 October 2026</w:t>
      </w:r>
    </w:p>
    <w:p w14:paraId="6B9FFD32" w14:textId="77777777" w:rsidR="006F27A6" w:rsidRDefault="00AD1B0E">
      <w:pPr>
        <w:pStyle w:val="Heading1"/>
      </w:pPr>
      <w:r>
        <w:t>1. Title Page and Dashboard Screenshot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F27A6" w14:paraId="09956082" w14:textId="77777777">
        <w:tblPrEx>
          <w:tblCellMar>
            <w:top w:w="0" w:type="dxa"/>
            <w:bottom w:w="0" w:type="dxa"/>
          </w:tblCellMar>
        </w:tblPrEx>
        <w:trPr>
          <w:trHeight w:hRule="exact" w:val="3400"/>
        </w:trPr>
        <w:tc>
          <w:tcPr>
            <w:tcW w:w="974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73C14A11" w14:textId="77777777" w:rsidR="006F27A6" w:rsidRDefault="00AD1B0E">
            <w:pPr>
              <w:spacing w:after="60"/>
              <w:jc w:val="center"/>
            </w:pPr>
            <w:r>
              <w:rPr>
                <w:b/>
                <w:bCs/>
                <w:color w:val="595959"/>
                <w:sz w:val="26"/>
                <w:szCs w:val="26"/>
              </w:rPr>
              <w:t>[ Paste full dashboard screenshot here ]</w:t>
            </w:r>
          </w:p>
          <w:p w14:paraId="59436563" w14:textId="77777777" w:rsidR="006F27A6" w:rsidRDefault="00AD1B0E">
            <w:pPr>
              <w:jc w:val="center"/>
            </w:pPr>
            <w:r>
              <w:rPr>
                <w:color w:val="7F7F7F"/>
                <w:sz w:val="18"/>
                <w:szCs w:val="18"/>
              </w:rPr>
              <w:t>Power BI page: INTERACTIVE DASHBOARD (insert &gt; picture, then delete this box)</w:t>
            </w:r>
          </w:p>
        </w:tc>
      </w:tr>
    </w:tbl>
    <w:p w14:paraId="42A41106" w14:textId="77777777" w:rsidR="006F27A6" w:rsidRDefault="006F27A6">
      <w:pPr>
        <w:spacing w:after="60"/>
      </w:pPr>
    </w:p>
    <w:p w14:paraId="2B2DFD0E" w14:textId="77777777" w:rsidR="006F27A6" w:rsidRDefault="00AD1B0E">
      <w:pPr>
        <w:spacing w:after="100" w:line="264" w:lineRule="auto"/>
        <w:jc w:val="both"/>
      </w:pPr>
      <w:r>
        <w:t>The dashboard presents AML transactions, fraud status, transaction activity and alert types through KPI cards, a pie chart, a bar chart, a line chart, a horizontal bar chart and interactive filters. Together, these elements are intended to help identify activity that may be suspicious and may require further investigation.</w:t>
      </w:r>
    </w:p>
    <w:p w14:paraId="1E51CED1" w14:textId="77777777" w:rsidR="006F27A6" w:rsidRDefault="00AD1B0E">
      <w:pPr>
        <w:pStyle w:val="Heading1"/>
      </w:pPr>
      <w:r>
        <w:t>2. Overview of the AML Dataset</w:t>
      </w:r>
    </w:p>
    <w:p w14:paraId="4377DB67" w14:textId="77777777" w:rsidR="006F27A6" w:rsidRDefault="00AD1B0E">
      <w:pPr>
        <w:spacing w:after="100" w:line="264" w:lineRule="auto"/>
        <w:jc w:val="both"/>
      </w:pPr>
      <w:r>
        <w:t>The dataset contains account, transaction and alert records used for anti-money laundering (AML) monitoring. The purpose of the analysis is to summarise overall transaction scale, show how transactions are classified, observe activity over time, and review the types of alerts generated, so that analysts can decide where closer review may be warranted.</w:t>
      </w:r>
    </w:p>
    <w:p w14:paraId="6828D016" w14:textId="77777777" w:rsidR="006F27A6" w:rsidRDefault="00AD1B0E">
      <w:pPr>
        <w:keepNext/>
        <w:spacing w:after="40" w:line="264" w:lineRule="auto"/>
        <w:jc w:val="both"/>
      </w:pPr>
      <w:r>
        <w:t>The key fields used in the dashboard are:</w:t>
      </w:r>
    </w:p>
    <w:p w14:paraId="00C3DBC0" w14:textId="77777777" w:rsidR="006F27A6" w:rsidRDefault="00AD1B0E">
      <w:pPr>
        <w:pStyle w:val="ListParagraph"/>
        <w:numPr>
          <w:ilvl w:val="0"/>
          <w:numId w:val="2"/>
        </w:numPr>
        <w:spacing w:after="50" w:line="259" w:lineRule="auto"/>
        <w:jc w:val="both"/>
      </w:pPr>
      <w:r>
        <w:rPr>
          <w:rFonts w:ascii="Consolas" w:eastAsia="Consolas" w:hAnsi="Consolas" w:cs="Consolas"/>
          <w:b/>
          <w:bCs/>
          <w:color w:val="000000"/>
          <w:highlight w:val="green"/>
        </w:rPr>
        <w:t>IS_FRAUD</w:t>
      </w:r>
      <w:r>
        <w:t xml:space="preserve"> – a flag showing whether a transaction is classified as fraudulent (True) or not (False).</w:t>
      </w:r>
    </w:p>
    <w:p w14:paraId="74D1FC9C" w14:textId="77777777" w:rsidR="006F27A6" w:rsidRDefault="00AD1B0E">
      <w:pPr>
        <w:pStyle w:val="ListParagraph"/>
        <w:numPr>
          <w:ilvl w:val="0"/>
          <w:numId w:val="2"/>
        </w:numPr>
        <w:spacing w:after="50" w:line="259" w:lineRule="auto"/>
        <w:jc w:val="both"/>
      </w:pPr>
      <w:r>
        <w:rPr>
          <w:rFonts w:ascii="Consolas" w:eastAsia="Consolas" w:hAnsi="Consolas" w:cs="Consolas"/>
          <w:b/>
          <w:bCs/>
          <w:color w:val="000000"/>
          <w:highlight w:val="green"/>
        </w:rPr>
        <w:t>TIMESTAMP</w:t>
      </w:r>
      <w:r>
        <w:t xml:space="preserve"> – the date and time of each transaction, used to analyse activity over time.</w:t>
      </w:r>
    </w:p>
    <w:p w14:paraId="36D4DECA" w14:textId="77777777" w:rsidR="006F27A6" w:rsidRDefault="00AD1B0E">
      <w:pPr>
        <w:pStyle w:val="ListParagraph"/>
        <w:numPr>
          <w:ilvl w:val="0"/>
          <w:numId w:val="2"/>
        </w:numPr>
        <w:spacing w:after="50" w:line="259" w:lineRule="auto"/>
        <w:jc w:val="both"/>
      </w:pPr>
      <w:r>
        <w:rPr>
          <w:rFonts w:ascii="Consolas" w:eastAsia="Consolas" w:hAnsi="Consolas" w:cs="Consolas"/>
          <w:b/>
          <w:bCs/>
          <w:color w:val="000000"/>
          <w:highlight w:val="green"/>
        </w:rPr>
        <w:t>ALERT_ID</w:t>
      </w:r>
      <w:r>
        <w:t xml:space="preserve"> – the identifier of each alert, counted to measure alert volume.</w:t>
      </w:r>
    </w:p>
    <w:p w14:paraId="1F73C2FA" w14:textId="77777777" w:rsidR="006F27A6" w:rsidRDefault="00AD1B0E">
      <w:pPr>
        <w:pStyle w:val="ListParagraph"/>
        <w:numPr>
          <w:ilvl w:val="0"/>
          <w:numId w:val="2"/>
        </w:numPr>
        <w:spacing w:after="50" w:line="259" w:lineRule="auto"/>
        <w:jc w:val="both"/>
      </w:pPr>
      <w:r>
        <w:rPr>
          <w:rFonts w:ascii="Consolas" w:eastAsia="Consolas" w:hAnsi="Consolas" w:cs="Consolas"/>
          <w:b/>
          <w:bCs/>
          <w:color w:val="000000"/>
          <w:highlight w:val="green"/>
        </w:rPr>
        <w:t>ALERT_TYPE</w:t>
      </w:r>
      <w:r>
        <w:t xml:space="preserve"> – the alert category (cycle or fan_in), indicating the pattern that triggered the alert.</w:t>
      </w:r>
    </w:p>
    <w:p w14:paraId="370BB142" w14:textId="77777777" w:rsidR="006F27A6" w:rsidRDefault="00AD1B0E">
      <w:pPr>
        <w:pStyle w:val="Heading1"/>
      </w:pPr>
      <w:r>
        <w:t>3. KPI Interpretation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746"/>
      </w:tblGrid>
      <w:tr w:rsidR="006F27A6" w14:paraId="0A218F96" w14:textId="77777777">
        <w:tblPrEx>
          <w:tblCellMar>
            <w:top w:w="0" w:type="dxa"/>
            <w:bottom w:w="0" w:type="dxa"/>
          </w:tblCellMar>
        </w:tblPrEx>
        <w:trPr>
          <w:tblHeader/>
        </w:trPr>
        <w:tc>
          <w:tcPr>
            <w:tcW w:w="23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100" w:type="dxa"/>
              <w:bottom w:w="60" w:type="dxa"/>
              <w:right w:w="100" w:type="dxa"/>
            </w:tcMar>
            <w:vAlign w:val="center"/>
          </w:tcPr>
          <w:p w14:paraId="569C12E8" w14:textId="77777777" w:rsidR="006F27A6" w:rsidRDefault="00AD1B0E">
            <w:r>
              <w:rPr>
                <w:b/>
                <w:bCs/>
                <w:color w:val="FFFFFF"/>
                <w:sz w:val="20"/>
                <w:szCs w:val="20"/>
              </w:rPr>
              <w:t>KPI</w:t>
            </w:r>
          </w:p>
        </w:tc>
        <w:tc>
          <w:tcPr>
            <w:tcW w:w="17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100" w:type="dxa"/>
              <w:bottom w:w="60" w:type="dxa"/>
              <w:right w:w="100" w:type="dxa"/>
            </w:tcMar>
            <w:vAlign w:val="center"/>
          </w:tcPr>
          <w:p w14:paraId="3C8E37A2" w14:textId="77777777" w:rsidR="006F27A6" w:rsidRDefault="00AD1B0E">
            <w:r>
              <w:rPr>
                <w:b/>
                <w:bCs/>
                <w:color w:val="FFFFFF"/>
                <w:sz w:val="20"/>
                <w:szCs w:val="20"/>
              </w:rPr>
              <w:t>Dashboard Value</w:t>
            </w:r>
          </w:p>
        </w:tc>
        <w:tc>
          <w:tcPr>
            <w:tcW w:w="5746" w:type="dxa"/>
            <w:tcBorders>
              <w:top w:val="single" w:sz="4" w:space="0" w:color="8C8C8C"/>
              <w:left w:val="single" w:sz="4" w:space="0" w:color="8C8C8C"/>
              <w:bottom w:val="single" w:sz="4" w:space="0" w:color="8C8C8C"/>
              <w:right w:val="single" w:sz="4" w:space="0" w:color="8C8C8C"/>
            </w:tcBorders>
            <w:shd w:val="clear" w:color="auto" w:fill="1F3864"/>
            <w:tcMar>
              <w:top w:w="60" w:type="dxa"/>
              <w:left w:w="100" w:type="dxa"/>
              <w:bottom w:w="60" w:type="dxa"/>
              <w:right w:w="100" w:type="dxa"/>
            </w:tcMar>
            <w:vAlign w:val="center"/>
          </w:tcPr>
          <w:p w14:paraId="36F9042A" w14:textId="77777777" w:rsidR="006F27A6" w:rsidRDefault="00AD1B0E">
            <w:r>
              <w:rPr>
                <w:b/>
                <w:bCs/>
                <w:color w:val="FFFFFF"/>
                <w:sz w:val="20"/>
                <w:szCs w:val="20"/>
              </w:rPr>
              <w:t>Interpretation</w:t>
            </w:r>
          </w:p>
        </w:tc>
      </w:tr>
      <w:tr w:rsidR="006F27A6" w14:paraId="2830833F"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48E162E" w14:textId="77777777" w:rsidR="006F27A6" w:rsidRDefault="00AD1B0E">
            <w:r>
              <w:rPr>
                <w:b/>
                <w:bCs/>
                <w:sz w:val="20"/>
                <w:szCs w:val="20"/>
              </w:rPr>
              <w:t>Fraudulent Transactions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9F5AE64" w14:textId="77777777" w:rsidR="006F27A6" w:rsidRDefault="00AD1B0E">
            <w:pPr>
              <w:jc w:val="center"/>
            </w:pPr>
            <w:r>
              <w:rPr>
                <w:sz w:val="20"/>
                <w:szCs w:val="20"/>
              </w:rPr>
              <w:t>1,719</w:t>
            </w:r>
          </w:p>
        </w:tc>
        <w:tc>
          <w:tcPr>
            <w:tcW w:w="574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12FF757" w14:textId="77777777" w:rsidR="006F27A6" w:rsidRDefault="00AD1B0E">
            <w:r>
              <w:rPr>
                <w:sz w:val="20"/>
                <w:szCs w:val="20"/>
              </w:rPr>
              <w:t xml:space="preserve">Number of transactions classified as fraudulent through the </w:t>
            </w:r>
            <w:r>
              <w:rPr>
                <w:rFonts w:ascii="Consolas" w:eastAsia="Consolas" w:hAnsi="Consolas" w:cs="Consolas"/>
                <w:b/>
                <w:bCs/>
                <w:color w:val="0B6E4F"/>
                <w:sz w:val="20"/>
                <w:szCs w:val="20"/>
              </w:rPr>
              <w:t>IS_FRAUD</w:t>
            </w:r>
            <w:r>
              <w:rPr>
                <w:sz w:val="20"/>
                <w:szCs w:val="20"/>
              </w:rPr>
              <w:t xml:space="preserve"> flag. This is a small subset of all activity, but each transaction may require review before any conclusion is drawn.</w:t>
            </w:r>
          </w:p>
        </w:tc>
      </w:tr>
      <w:tr w:rsidR="006F27A6" w14:paraId="702B331A"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827DC08" w14:textId="77777777" w:rsidR="006F27A6" w:rsidRDefault="00AD1B0E">
            <w:r>
              <w:rPr>
                <w:b/>
                <w:bCs/>
                <w:sz w:val="20"/>
                <w:szCs w:val="20"/>
              </w:rPr>
              <w:t>Total Transaction Amount</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C310392" w14:textId="77777777" w:rsidR="006F27A6" w:rsidRDefault="00AD1B0E">
            <w:pPr>
              <w:jc w:val="center"/>
            </w:pPr>
            <w:r>
              <w:rPr>
                <w:sz w:val="20"/>
                <w:szCs w:val="20"/>
              </w:rPr>
              <w:t>153.48 billion</w:t>
            </w:r>
          </w:p>
        </w:tc>
        <w:tc>
          <w:tcPr>
            <w:tcW w:w="574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F62E655" w14:textId="77777777" w:rsidR="006F27A6" w:rsidRDefault="00AD1B0E">
            <w:r>
              <w:rPr>
                <w:sz w:val="20"/>
                <w:szCs w:val="20"/>
              </w:rPr>
              <w:t>Aggregate value of all transactions shown. It indicates a substantial flow of funds; the currency unit should be confirmed against the source data.</w:t>
            </w:r>
          </w:p>
        </w:tc>
      </w:tr>
      <w:tr w:rsidR="006F27A6" w14:paraId="1781ABB3"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4545FAF" w14:textId="77777777" w:rsidR="006F27A6" w:rsidRDefault="00AD1B0E">
            <w:r>
              <w:rPr>
                <w:b/>
                <w:bCs/>
                <w:sz w:val="20"/>
                <w:szCs w:val="20"/>
              </w:rPr>
              <w:t>Total Transactions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3E7A47F" w14:textId="77777777" w:rsidR="006F27A6" w:rsidRDefault="00AD1B0E">
            <w:pPr>
              <w:jc w:val="center"/>
            </w:pPr>
            <w:r>
              <w:rPr>
                <w:sz w:val="20"/>
                <w:szCs w:val="20"/>
              </w:rPr>
              <w:t>1.32 million</w:t>
            </w:r>
          </w:p>
        </w:tc>
        <w:tc>
          <w:tcPr>
            <w:tcW w:w="574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89E99DE" w14:textId="77777777" w:rsidR="006F27A6" w:rsidRDefault="00AD1B0E">
            <w:r>
              <w:rPr>
                <w:sz w:val="20"/>
                <w:szCs w:val="20"/>
              </w:rPr>
              <w:t>Overall transaction volume. At this scale, manual review of every transaction is impractical, which supports automated monitoring and alert-based prioritisation.</w:t>
            </w:r>
          </w:p>
        </w:tc>
      </w:tr>
      <w:tr w:rsidR="006F27A6" w14:paraId="3537A460"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4A4A188" w14:textId="77777777" w:rsidR="006F27A6" w:rsidRDefault="00AD1B0E">
            <w:r>
              <w:rPr>
                <w:b/>
                <w:bCs/>
                <w:sz w:val="20"/>
                <w:szCs w:val="20"/>
              </w:rPr>
              <w:t>Total Accounts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AD5BE64" w14:textId="77777777" w:rsidR="006F27A6" w:rsidRDefault="00AD1B0E">
            <w:pPr>
              <w:jc w:val="center"/>
            </w:pPr>
            <w:r>
              <w:rPr>
                <w:sz w:val="20"/>
                <w:szCs w:val="20"/>
              </w:rPr>
              <w:t>10,000</w:t>
            </w:r>
          </w:p>
        </w:tc>
        <w:tc>
          <w:tcPr>
            <w:tcW w:w="574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4F5CFF5" w14:textId="77777777" w:rsidR="006F27A6" w:rsidRDefault="00AD1B0E">
            <w:r>
              <w:rPr>
                <w:sz w:val="20"/>
                <w:szCs w:val="20"/>
              </w:rPr>
              <w:t>Number of accounts in the dataset. The figures shown imply roughly 130 transactions per account on average, a derived estimate that should be verified.</w:t>
            </w:r>
          </w:p>
        </w:tc>
      </w:tr>
      <w:tr w:rsidR="006F27A6" w14:paraId="49C5C310"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2A9BD75" w14:textId="77777777" w:rsidR="006F27A6" w:rsidRDefault="00AD1B0E">
            <w:r>
              <w:rPr>
                <w:b/>
                <w:bCs/>
                <w:sz w:val="20"/>
                <w:szCs w:val="20"/>
              </w:rPr>
              <w:t>Average Transaction Amount</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4D60F64" w14:textId="77777777" w:rsidR="006F27A6" w:rsidRDefault="00AD1B0E">
            <w:pPr>
              <w:jc w:val="center"/>
            </w:pPr>
            <w:r>
              <w:rPr>
                <w:sz w:val="20"/>
                <w:szCs w:val="20"/>
              </w:rPr>
              <w:t>115.99K</w:t>
            </w:r>
          </w:p>
        </w:tc>
        <w:tc>
          <w:tcPr>
            <w:tcW w:w="574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31939A9" w14:textId="77777777" w:rsidR="006F27A6" w:rsidRDefault="00AD1B0E">
            <w:r>
              <w:rPr>
                <w:sz w:val="20"/>
                <w:szCs w:val="20"/>
              </w:rPr>
              <w:t>Mean value per transaction. A high average may indicate large-value transfers, but a mean can be skewed by outliers, so the distribution should also be examined.</w:t>
            </w:r>
          </w:p>
        </w:tc>
      </w:tr>
    </w:tbl>
    <w:p w14:paraId="42D91F45" w14:textId="77777777" w:rsidR="006F27A6" w:rsidRDefault="006F27A6">
      <w:pPr>
        <w:spacing w:after="60"/>
      </w:pPr>
    </w:p>
    <w:p w14:paraId="1E916778" w14:textId="77777777" w:rsidR="006F27A6" w:rsidRDefault="00AD1B0E">
      <w:pPr>
        <w:spacing w:after="100" w:line="264" w:lineRule="auto"/>
        <w:jc w:val="both"/>
      </w:pPr>
      <w:r>
        <w:lastRenderedPageBreak/>
        <w:t>Taken together, the KPIs describe a high-volume, high-value environment in which a small number of transactions are classified as fraudulent. They provide context for prioritising reviews, but they do not by themselves establish wrongdoing.</w:t>
      </w:r>
    </w:p>
    <w:p w14:paraId="4B3B326C" w14:textId="77777777" w:rsidR="006F27A6" w:rsidRDefault="00AD1B0E">
      <w:pPr>
        <w:spacing w:after="100" w:line="264" w:lineRule="auto"/>
        <w:jc w:val="both"/>
      </w:pPr>
      <w:r>
        <w:rPr>
          <w:b/>
          <w:bCs/>
          <w:i/>
          <w:iCs/>
        </w:rPr>
        <w:t xml:space="preserve">Note: </w:t>
      </w:r>
      <w:r>
        <w:rPr>
          <w:i/>
          <w:iCs/>
        </w:rPr>
        <w:t>KPI values are based on the supplied screenshot. The underlying calculations and aggregation settings should be verified before using them for formal reporting.</w:t>
      </w:r>
    </w:p>
    <w:p w14:paraId="390A2C2E" w14:textId="77777777" w:rsidR="006F27A6" w:rsidRDefault="00AD1B0E">
      <w:pPr>
        <w:pStyle w:val="Heading1"/>
      </w:pPr>
      <w:r>
        <w:t>4. Fraud Status Analysis</w:t>
      </w:r>
    </w:p>
    <w:p w14:paraId="564DBD79" w14:textId="77777777" w:rsidR="006F27A6" w:rsidRDefault="00AD1B0E">
      <w:pPr>
        <w:spacing w:after="100" w:line="264" w:lineRule="auto"/>
        <w:jc w:val="both"/>
      </w:pPr>
      <w:r>
        <w:t xml:space="preserve">The </w:t>
      </w:r>
      <w:r>
        <w:rPr>
          <w:b/>
          <w:bCs/>
        </w:rPr>
        <w:t>pie chart</w:t>
      </w:r>
      <w:r>
        <w:t xml:space="preserve"> (donut style), built on the </w:t>
      </w:r>
      <w:r>
        <w:rPr>
          <w:rFonts w:ascii="Consolas" w:eastAsia="Consolas" w:hAnsi="Consolas" w:cs="Consolas"/>
          <w:b/>
          <w:bCs/>
          <w:color w:val="0B6E4F"/>
        </w:rPr>
        <w:t>IS_FRAUD</w:t>
      </w:r>
      <w:r>
        <w:t xml:space="preserve"> field, shows that about 99.87% of transactions are classified as False and about 0.13% as True. The classified-fraud share is therefore very small relative to total activity.</w:t>
      </w:r>
    </w:p>
    <w:p w14:paraId="7F6A9FD9" w14:textId="77777777" w:rsidR="006F27A6" w:rsidRDefault="00AD1B0E">
      <w:pPr>
        <w:spacing w:after="100" w:line="264" w:lineRule="auto"/>
        <w:jc w:val="both"/>
      </w:pPr>
      <w:r>
        <w:t xml:space="preserve">The </w:t>
      </w:r>
      <w:r>
        <w:rPr>
          <w:b/>
          <w:bCs/>
        </w:rPr>
        <w:t>bar chart</w:t>
      </w:r>
      <w:r>
        <w:t xml:space="preserve"> (clustered columns) compares the total transaction amount by fraud status. Because False transactions form the overwhelming majority, that category is expected to carry most of the value. The True category should be read by its absolute amount rather than its relative height, since the value involved may still be material and may require review.</w:t>
      </w:r>
    </w:p>
    <w:p w14:paraId="38834051" w14:textId="77777777" w:rsidR="006F27A6" w:rsidRDefault="00AD1B0E">
      <w:pPr>
        <w:spacing w:after="100" w:line="264" w:lineRule="auto"/>
        <w:jc w:val="both"/>
      </w:pPr>
      <w:r>
        <w:rPr>
          <w:b/>
          <w:bCs/>
        </w:rPr>
        <w:t>Insight:</w:t>
      </w:r>
      <w:r>
        <w:t xml:space="preserve"> A low percentage does not mean low risk.</w:t>
      </w:r>
    </w:p>
    <w:p w14:paraId="1E474044" w14:textId="77777777" w:rsidR="006F27A6" w:rsidRDefault="00AD1B0E">
      <w:pPr>
        <w:pStyle w:val="Heading1"/>
      </w:pPr>
      <w:r>
        <w:t>5. Transaction Activity Analysis</w:t>
      </w:r>
    </w:p>
    <w:p w14:paraId="2E792634" w14:textId="77777777" w:rsidR="006F27A6" w:rsidRDefault="00AD1B0E">
      <w:pPr>
        <w:spacing w:after="100" w:line="264" w:lineRule="auto"/>
        <w:jc w:val="both"/>
      </w:pPr>
      <w:r>
        <w:t xml:space="preserve">The </w:t>
      </w:r>
      <w:r>
        <w:rPr>
          <w:b/>
          <w:bCs/>
        </w:rPr>
        <w:t>line chart</w:t>
      </w:r>
      <w:r>
        <w:t xml:space="preserve">, plotted by </w:t>
      </w:r>
      <w:r>
        <w:rPr>
          <w:rFonts w:ascii="Consolas" w:eastAsia="Consolas" w:hAnsi="Consolas" w:cs="Consolas"/>
          <w:b/>
          <w:bCs/>
          <w:color w:val="0B6E4F"/>
        </w:rPr>
        <w:t>TIMESTAMP</w:t>
      </w:r>
      <w:r>
        <w:t>, shows total transactions rising during the initial period and then fluctuating in a range of roughly 6,000 to 7,000 transactions. Sustained variation within this band appears to reflect normal operating activity, while movements outside it may indicate periods that should be reviewed.</w:t>
      </w:r>
    </w:p>
    <w:p w14:paraId="78BB66E3" w14:textId="77777777" w:rsidR="006F27A6" w:rsidRDefault="00AD1B0E">
      <w:pPr>
        <w:spacing w:after="100" w:line="264" w:lineRule="auto"/>
        <w:jc w:val="both"/>
      </w:pPr>
      <w:r>
        <w:rPr>
          <w:b/>
          <w:bCs/>
        </w:rPr>
        <w:t>Insight:</w:t>
      </w:r>
      <w:r>
        <w:t xml:space="preserve"> Time-based analysis helps identify unusual patterns.</w:t>
      </w:r>
    </w:p>
    <w:p w14:paraId="4867160A" w14:textId="77777777" w:rsidR="006F27A6" w:rsidRDefault="00AD1B0E">
      <w:pPr>
        <w:pStyle w:val="Heading1"/>
      </w:pPr>
      <w:r>
        <w:t>6. Alert Analysis</w:t>
      </w:r>
    </w:p>
    <w:p w14:paraId="35C555F9" w14:textId="77777777" w:rsidR="006F27A6" w:rsidRDefault="00AD1B0E">
      <w:pPr>
        <w:spacing w:after="100" w:line="264" w:lineRule="auto"/>
        <w:jc w:val="both"/>
      </w:pPr>
      <w:r>
        <w:t xml:space="preserve">The </w:t>
      </w:r>
      <w:r>
        <w:rPr>
          <w:b/>
          <w:bCs/>
        </w:rPr>
        <w:t>horizontal bar chart</w:t>
      </w:r>
      <w:r>
        <w:t xml:space="preserve"> shows alert counts by </w:t>
      </w:r>
      <w:r>
        <w:rPr>
          <w:rFonts w:ascii="Consolas" w:eastAsia="Consolas" w:hAnsi="Consolas" w:cs="Consolas"/>
          <w:b/>
          <w:bCs/>
          <w:color w:val="0B6E4F"/>
        </w:rPr>
        <w:t>ALERT_TYPE</w:t>
      </w:r>
      <w:r>
        <w:t xml:space="preserve">, based on the count of </w:t>
      </w:r>
      <w:r>
        <w:rPr>
          <w:rFonts w:ascii="Consolas" w:eastAsia="Consolas" w:hAnsi="Consolas" w:cs="Consolas"/>
          <w:b/>
          <w:bCs/>
          <w:color w:val="0B6E4F"/>
        </w:rPr>
        <w:t>ALERT_ID</w:t>
      </w:r>
      <w:r>
        <w:t>. Cycle alerts number approximately 930 and fan-in alerts approximately 780.</w:t>
      </w:r>
    </w:p>
    <w:p w14:paraId="6E801136" w14:textId="77777777" w:rsidR="006F27A6" w:rsidRDefault="00AD1B0E">
      <w:pPr>
        <w:pStyle w:val="ListParagraph"/>
        <w:numPr>
          <w:ilvl w:val="0"/>
          <w:numId w:val="2"/>
        </w:numPr>
        <w:spacing w:after="50" w:line="259" w:lineRule="auto"/>
        <w:jc w:val="both"/>
      </w:pPr>
      <w:r>
        <w:rPr>
          <w:b/>
          <w:bCs/>
        </w:rPr>
        <w:t>Cycle:</w:t>
      </w:r>
      <w:r>
        <w:t xml:space="preserve"> funds moving through a sequence of accounts, which may return to or loop near the originating account.</w:t>
      </w:r>
    </w:p>
    <w:p w14:paraId="42214A11" w14:textId="77777777" w:rsidR="006F27A6" w:rsidRDefault="00AD1B0E">
      <w:pPr>
        <w:pStyle w:val="ListParagraph"/>
        <w:numPr>
          <w:ilvl w:val="0"/>
          <w:numId w:val="2"/>
        </w:numPr>
        <w:spacing w:after="50" w:line="259" w:lineRule="auto"/>
        <w:jc w:val="both"/>
      </w:pPr>
      <w:r>
        <w:rPr>
          <w:b/>
          <w:bCs/>
        </w:rPr>
        <w:t>Fan-in:</w:t>
      </w:r>
      <w:r>
        <w:t xml:space="preserve"> funds from multiple sources converging into a single account.</w:t>
      </w:r>
    </w:p>
    <w:p w14:paraId="122334FC" w14:textId="77777777" w:rsidR="006F27A6" w:rsidRDefault="00AD1B0E">
      <w:pPr>
        <w:spacing w:after="100" w:line="264" w:lineRule="auto"/>
        <w:jc w:val="both"/>
      </w:pPr>
      <w:r>
        <w:rPr>
          <w:b/>
          <w:bCs/>
        </w:rPr>
        <w:t>Insight:</w:t>
      </w:r>
      <w:r>
        <w:t xml:space="preserve"> Both alert types need investigation, but neither is automatic proof of fraud.</w:t>
      </w:r>
    </w:p>
    <w:p w14:paraId="6BB473F9" w14:textId="77777777" w:rsidR="006F27A6" w:rsidRDefault="00AD1B0E">
      <w:pPr>
        <w:pStyle w:val="Heading1"/>
      </w:pPr>
      <w:r>
        <w:t>7. Filter-Based Analysis</w:t>
      </w:r>
    </w:p>
    <w:p w14:paraId="04D1FBCA" w14:textId="77777777" w:rsidR="006F27A6" w:rsidRDefault="00AD1B0E">
      <w:pPr>
        <w:spacing w:after="100" w:line="264" w:lineRule="auto"/>
        <w:jc w:val="both"/>
      </w:pPr>
      <w:r>
        <w:t xml:space="preserve">The dashboard includes two filters (slicers). The </w:t>
      </w:r>
      <w:r>
        <w:rPr>
          <w:rFonts w:ascii="Consolas" w:eastAsia="Consolas" w:hAnsi="Consolas" w:cs="Consolas"/>
          <w:b/>
          <w:bCs/>
          <w:color w:val="0B6E4F"/>
        </w:rPr>
        <w:t>ALERT_TYPE</w:t>
      </w:r>
      <w:r>
        <w:t xml:space="preserve"> filter lets users select cycle or fan_in alerts, and the </w:t>
      </w:r>
      <w:r>
        <w:rPr>
          <w:rFonts w:ascii="Consolas" w:eastAsia="Consolas" w:hAnsi="Consolas" w:cs="Consolas"/>
          <w:b/>
          <w:bCs/>
          <w:color w:val="0B6E4F"/>
        </w:rPr>
        <w:t>IS_FRAUD</w:t>
      </w:r>
      <w:r>
        <w:t xml:space="preserve"> filter lets users select True or False transactions. These filters make the dashboard more useful by allowing analysts to focus on a specific alert pattern or classification.</w:t>
      </w:r>
    </w:p>
    <w:p w14:paraId="06B53041" w14:textId="77777777" w:rsidR="006F27A6" w:rsidRDefault="00AD1B0E">
      <w:pPr>
        <w:spacing w:after="100" w:line="264" w:lineRule="auto"/>
        <w:jc w:val="both"/>
      </w:pPr>
      <w:r>
        <w:t xml:space="preserve">Results should be checked to confirm that all charts and KPI cards respond correctly to each filter. In particular, the </w:t>
      </w:r>
      <w:r>
        <w:rPr>
          <w:rFonts w:ascii="Consolas" w:eastAsia="Consolas" w:hAnsi="Consolas" w:cs="Consolas"/>
          <w:b/>
          <w:bCs/>
          <w:color w:val="0B6E4F"/>
        </w:rPr>
        <w:t>IS_FRAUD</w:t>
      </w:r>
      <w:r>
        <w:t xml:space="preserve"> filter in the report file appears to draw from the accounts table, while the fraud-status charts use the transactions table, so the data relationships should be tested before the filtered results are relied upon.</w:t>
      </w:r>
    </w:p>
    <w:p w14:paraId="7008E61B" w14:textId="77777777" w:rsidR="006F27A6" w:rsidRDefault="00AD1B0E">
      <w:pPr>
        <w:pStyle w:val="Heading1"/>
      </w:pPr>
      <w:r>
        <w:t>8. Key AML Insights</w:t>
      </w:r>
    </w:p>
    <w:p w14:paraId="2070985D" w14:textId="77777777" w:rsidR="006F27A6" w:rsidRDefault="00AD1B0E">
      <w:pPr>
        <w:pStyle w:val="ListParagraph"/>
        <w:numPr>
          <w:ilvl w:val="0"/>
          <w:numId w:val="2"/>
        </w:numPr>
        <w:spacing w:after="50" w:line="259" w:lineRule="auto"/>
        <w:jc w:val="both"/>
      </w:pPr>
      <w:r>
        <w:rPr>
          <w:b/>
          <w:bCs/>
        </w:rPr>
        <w:t>Low proportion of fraud:</w:t>
      </w:r>
      <w:r>
        <w:t xml:space="preserve"> only about 0.13% of transactions are classified as fraudulent.</w:t>
      </w:r>
    </w:p>
    <w:p w14:paraId="1A91F9AF" w14:textId="77777777" w:rsidR="006F27A6" w:rsidRDefault="00AD1B0E">
      <w:pPr>
        <w:pStyle w:val="ListParagraph"/>
        <w:numPr>
          <w:ilvl w:val="0"/>
          <w:numId w:val="2"/>
        </w:numPr>
        <w:spacing w:after="50" w:line="259" w:lineRule="auto"/>
        <w:jc w:val="both"/>
      </w:pPr>
      <w:r>
        <w:rPr>
          <w:b/>
          <w:bCs/>
        </w:rPr>
        <w:t>Large transaction volume:</w:t>
      </w:r>
      <w:r>
        <w:t xml:space="preserve"> about 1.32 million transactions across 10,000 accounts require systematic monitoring.</w:t>
      </w:r>
    </w:p>
    <w:p w14:paraId="6D247681" w14:textId="77777777" w:rsidR="006F27A6" w:rsidRDefault="00AD1B0E">
      <w:pPr>
        <w:pStyle w:val="ListParagraph"/>
        <w:numPr>
          <w:ilvl w:val="0"/>
          <w:numId w:val="2"/>
        </w:numPr>
        <w:spacing w:after="50" w:line="259" w:lineRule="auto"/>
        <w:jc w:val="both"/>
      </w:pPr>
      <w:r>
        <w:rPr>
          <w:b/>
          <w:bCs/>
        </w:rPr>
        <w:t>Significant transaction value:</w:t>
      </w:r>
      <w:r>
        <w:t xml:space="preserve"> total value of about 153.48 billion indicates substantial funds under monitoring.</w:t>
      </w:r>
    </w:p>
    <w:p w14:paraId="2AE31B17" w14:textId="77777777" w:rsidR="006F27A6" w:rsidRDefault="00AD1B0E">
      <w:pPr>
        <w:pStyle w:val="ListParagraph"/>
        <w:numPr>
          <w:ilvl w:val="0"/>
          <w:numId w:val="2"/>
        </w:numPr>
        <w:spacing w:after="50" w:line="259" w:lineRule="auto"/>
        <w:jc w:val="both"/>
      </w:pPr>
      <w:r>
        <w:rPr>
          <w:b/>
          <w:bCs/>
        </w:rPr>
        <w:t>Cycle alerts more frequent:</w:t>
      </w:r>
      <w:r>
        <w:t xml:space="preserve"> cycle alerts (about 930) exceed fan-in alerts (about 780).</w:t>
      </w:r>
    </w:p>
    <w:p w14:paraId="65930E4E" w14:textId="77777777" w:rsidR="006F27A6" w:rsidRDefault="00AD1B0E">
      <w:pPr>
        <w:pStyle w:val="ListParagraph"/>
        <w:numPr>
          <w:ilvl w:val="0"/>
          <w:numId w:val="2"/>
        </w:numPr>
        <w:spacing w:after="50" w:line="259" w:lineRule="auto"/>
        <w:jc w:val="both"/>
      </w:pPr>
      <w:r>
        <w:rPr>
          <w:b/>
          <w:bCs/>
        </w:rPr>
        <w:t>Fluctuating activity:</w:t>
      </w:r>
      <w:r>
        <w:t xml:space="preserve"> activity varies around 6,000–7,000 transactions after an initial rise.</w:t>
      </w:r>
    </w:p>
    <w:p w14:paraId="5598B514" w14:textId="77777777" w:rsidR="006F27A6" w:rsidRDefault="00AD1B0E">
      <w:pPr>
        <w:pStyle w:val="ListParagraph"/>
        <w:numPr>
          <w:ilvl w:val="0"/>
          <w:numId w:val="2"/>
        </w:numPr>
        <w:spacing w:after="50" w:line="259" w:lineRule="auto"/>
        <w:jc w:val="both"/>
      </w:pPr>
      <w:r>
        <w:rPr>
          <w:b/>
          <w:bCs/>
        </w:rPr>
        <w:t>Interactive analysis supports investigation:</w:t>
      </w:r>
      <w:r>
        <w:t xml:space="preserve"> filters allow focused review by alert type and fraud classification.</w:t>
      </w:r>
    </w:p>
    <w:p w14:paraId="5E67ABF0" w14:textId="77777777" w:rsidR="006F27A6" w:rsidRDefault="00AD1B0E">
      <w:pPr>
        <w:pStyle w:val="ListParagraph"/>
        <w:numPr>
          <w:ilvl w:val="0"/>
          <w:numId w:val="2"/>
        </w:numPr>
        <w:spacing w:after="50" w:line="259" w:lineRule="auto"/>
        <w:jc w:val="both"/>
      </w:pPr>
      <w:r>
        <w:rPr>
          <w:b/>
          <w:bCs/>
        </w:rPr>
        <w:t>Further verification is necessary:</w:t>
      </w:r>
      <w:r>
        <w:t xml:space="preserve"> calculations, aggregations and filter behaviour should be validated before formal use.</w:t>
      </w:r>
    </w:p>
    <w:p w14:paraId="4A3BF0B3" w14:textId="77777777" w:rsidR="006F27A6" w:rsidRDefault="00AD1B0E">
      <w:pPr>
        <w:pStyle w:val="Heading1"/>
      </w:pPr>
      <w:r>
        <w:lastRenderedPageBreak/>
        <w:t>9. Recommendations</w:t>
      </w:r>
    </w:p>
    <w:p w14:paraId="788DED0C" w14:textId="77777777" w:rsidR="006F27A6" w:rsidRDefault="00AD1B0E">
      <w:pPr>
        <w:pStyle w:val="ListParagraph"/>
        <w:numPr>
          <w:ilvl w:val="0"/>
          <w:numId w:val="2"/>
        </w:numPr>
        <w:spacing w:after="50" w:line="259" w:lineRule="auto"/>
        <w:jc w:val="both"/>
      </w:pPr>
      <w:r>
        <w:rPr>
          <w:b/>
          <w:bCs/>
        </w:rPr>
        <w:t>Strengthen</w:t>
      </w:r>
      <w:r>
        <w:t xml:space="preserve"> fraud monitoring so that transactions classified as fraudulent are tracked consistently.</w:t>
      </w:r>
    </w:p>
    <w:p w14:paraId="77CBE662" w14:textId="77777777" w:rsidR="006F27A6" w:rsidRDefault="00AD1B0E">
      <w:pPr>
        <w:pStyle w:val="ListParagraph"/>
        <w:numPr>
          <w:ilvl w:val="0"/>
          <w:numId w:val="2"/>
        </w:numPr>
        <w:spacing w:after="50" w:line="259" w:lineRule="auto"/>
        <w:jc w:val="both"/>
      </w:pPr>
      <w:r>
        <w:rPr>
          <w:b/>
          <w:bCs/>
        </w:rPr>
        <w:t>Investigate</w:t>
      </w:r>
      <w:r>
        <w:t xml:space="preserve"> high-priority alerts first, reviewing underlying transactions before any conclusion is reached.</w:t>
      </w:r>
    </w:p>
    <w:p w14:paraId="645235B6" w14:textId="77777777" w:rsidR="006F27A6" w:rsidRDefault="00AD1B0E">
      <w:pPr>
        <w:pStyle w:val="ListParagraph"/>
        <w:numPr>
          <w:ilvl w:val="0"/>
          <w:numId w:val="2"/>
        </w:numPr>
        <w:spacing w:after="50" w:line="259" w:lineRule="auto"/>
        <w:jc w:val="both"/>
      </w:pPr>
      <w:r>
        <w:rPr>
          <w:b/>
          <w:bCs/>
        </w:rPr>
        <w:t>Monitor</w:t>
      </w:r>
      <w:r>
        <w:t xml:space="preserve"> transaction activity continuously and flag movements outside the usual range for review.</w:t>
      </w:r>
    </w:p>
    <w:p w14:paraId="40E3678D" w14:textId="77777777" w:rsidR="006F27A6" w:rsidRDefault="00AD1B0E">
      <w:pPr>
        <w:pStyle w:val="ListParagraph"/>
        <w:numPr>
          <w:ilvl w:val="0"/>
          <w:numId w:val="2"/>
        </w:numPr>
        <w:spacing w:after="50" w:line="259" w:lineRule="auto"/>
        <w:jc w:val="both"/>
      </w:pPr>
      <w:r>
        <w:rPr>
          <w:b/>
          <w:bCs/>
        </w:rPr>
        <w:t>Improve</w:t>
      </w:r>
      <w:r>
        <w:t xml:space="preserve"> fraud detection rules and models using the patterns observed in cycle and fan-in alerts.</w:t>
      </w:r>
    </w:p>
    <w:p w14:paraId="6F085D4B" w14:textId="77777777" w:rsidR="006F27A6" w:rsidRDefault="00AD1B0E">
      <w:pPr>
        <w:pStyle w:val="ListParagraph"/>
        <w:numPr>
          <w:ilvl w:val="0"/>
          <w:numId w:val="2"/>
        </w:numPr>
        <w:spacing w:after="50" w:line="259" w:lineRule="auto"/>
        <w:jc w:val="both"/>
      </w:pPr>
      <w:r>
        <w:rPr>
          <w:b/>
          <w:bCs/>
        </w:rPr>
        <w:t>Use</w:t>
      </w:r>
      <w:r>
        <w:t xml:space="preserve"> a risk-based approach to investigation, prioritising by alert type, value and account behaviour.</w:t>
      </w:r>
    </w:p>
    <w:p w14:paraId="2EEFF49E" w14:textId="77777777" w:rsidR="006F27A6" w:rsidRDefault="00AD1B0E">
      <w:pPr>
        <w:pStyle w:val="ListParagraph"/>
        <w:numPr>
          <w:ilvl w:val="0"/>
          <w:numId w:val="2"/>
        </w:numPr>
        <w:spacing w:after="50" w:line="259" w:lineRule="auto"/>
        <w:jc w:val="both"/>
      </w:pPr>
      <w:r>
        <w:rPr>
          <w:b/>
          <w:bCs/>
        </w:rPr>
        <w:t>Improve</w:t>
      </w:r>
      <w:r>
        <w:t xml:space="preserve"> dashboard accuracy by validating measures, aggregation settings and filter relationships.</w:t>
      </w:r>
    </w:p>
    <w:p w14:paraId="46881A4E" w14:textId="77777777" w:rsidR="006F27A6" w:rsidRDefault="00AD1B0E">
      <w:pPr>
        <w:pStyle w:val="ListParagraph"/>
        <w:numPr>
          <w:ilvl w:val="0"/>
          <w:numId w:val="2"/>
        </w:numPr>
        <w:spacing w:after="50" w:line="259" w:lineRule="auto"/>
        <w:jc w:val="both"/>
      </w:pPr>
      <w:r>
        <w:rPr>
          <w:b/>
          <w:bCs/>
        </w:rPr>
        <w:t>Maintain</w:t>
      </w:r>
      <w:r>
        <w:t xml:space="preserve"> proper records of alerts, reviews, decisions and supporting evidence for audit purposes.</w:t>
      </w:r>
    </w:p>
    <w:p w14:paraId="6E65F20F" w14:textId="77777777" w:rsidR="006F27A6" w:rsidRDefault="00AD1B0E">
      <w:pPr>
        <w:pStyle w:val="ListParagraph"/>
        <w:numPr>
          <w:ilvl w:val="0"/>
          <w:numId w:val="2"/>
        </w:numPr>
        <w:spacing w:after="50" w:line="259" w:lineRule="auto"/>
        <w:jc w:val="both"/>
      </w:pPr>
      <w:r>
        <w:rPr>
          <w:b/>
          <w:bCs/>
        </w:rPr>
        <w:t>Review</w:t>
      </w:r>
      <w:r>
        <w:t xml:space="preserve"> false positives regularly to reduce unnecessary workload and refine alert thresholds.</w:t>
      </w:r>
    </w:p>
    <w:p w14:paraId="58040D7A" w14:textId="77777777" w:rsidR="006F27A6" w:rsidRDefault="00AD1B0E">
      <w:pPr>
        <w:pStyle w:val="Heading1"/>
      </w:pPr>
      <w:r>
        <w:t>10. Conclusion</w:t>
      </w:r>
    </w:p>
    <w:p w14:paraId="2E85EE0B" w14:textId="77777777" w:rsidR="006F27A6" w:rsidRDefault="00AD1B0E">
      <w:pPr>
        <w:spacing w:after="100" w:line="264" w:lineRule="auto"/>
        <w:jc w:val="both"/>
      </w:pPr>
      <w:r>
        <w:t>The dashboard indicates a large, high-value transaction environment in which a very small share of transactions (about 0.13%) is classified as fraudulent. Activity fluctuates within a fairly stable range after an initial increase, and alerts are generated for both cycle and fan-in patterns, with cycle alerts being somewhat more frequent.</w:t>
      </w:r>
    </w:p>
    <w:p w14:paraId="6309E4F9" w14:textId="77777777" w:rsidR="006F27A6" w:rsidRDefault="00AD1B0E">
      <w:pPr>
        <w:spacing w:after="100" w:line="264" w:lineRule="auto"/>
        <w:jc w:val="both"/>
      </w:pPr>
      <w:r>
        <w:t>The KPI cards and charts help analysts understand scale, fraud classification, activity trends and alert patterns, while the filters support focused review. These tools are useful for prioritising investigations, but the figures are based on a supplied screenshot, and the underlying calculations and aggregation settings should be verified before any formal use.</w:t>
      </w:r>
    </w:p>
    <w:p w14:paraId="0DA22184" w14:textId="77777777" w:rsidR="006F27A6" w:rsidRDefault="00AD1B0E">
      <w:pPr>
        <w:spacing w:after="100" w:line="264" w:lineRule="auto"/>
        <w:jc w:val="both"/>
      </w:pPr>
      <w:r>
        <w:rPr>
          <w:i/>
          <w:iCs/>
        </w:rPr>
        <w:t>Dashboard alerts are indicators for investigation, not conclusive proof of money laundering or fraud. Transactions must be reviewed in full, in line with the institution’s policies and applicable regulations, before any such conclusion is reached.</w:t>
      </w:r>
    </w:p>
    <w:sectPr w:rsidR="006F27A6">
      <w:footerReference w:type="default" r:id="rId7"/>
      <w:pgSz w:w="11906" w:h="16838"/>
      <w:pgMar w:top="10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D3702" w14:textId="77777777" w:rsidR="00AD1B0E" w:rsidRDefault="00AD1B0E">
      <w:r>
        <w:separator/>
      </w:r>
    </w:p>
  </w:endnote>
  <w:endnote w:type="continuationSeparator" w:id="0">
    <w:p w14:paraId="6505184A" w14:textId="77777777" w:rsidR="00AD1B0E" w:rsidRDefault="00AD1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D2154" w14:textId="77777777" w:rsidR="006F27A6" w:rsidRDefault="00AD1B0E">
    <w:pPr>
      <w:jc w:val="center"/>
    </w:pPr>
    <w:r>
      <w:rPr>
        <w:color w:val="7F7F7F"/>
        <w:sz w:val="17"/>
        <w:szCs w:val="17"/>
      </w:rPr>
      <w:t xml:space="preserve">AML Transaction &amp; Fraud Analysis – Business Insight Report  |  Page </w:t>
    </w:r>
    <w:r>
      <w:rPr>
        <w:color w:val="7F7F7F"/>
        <w:sz w:val="17"/>
        <w:szCs w:val="17"/>
      </w:rPr>
      <w:fldChar w:fldCharType="begin"/>
    </w:r>
    <w:r>
      <w:rPr>
        <w:color w:val="7F7F7F"/>
        <w:sz w:val="17"/>
        <w:szCs w:val="17"/>
      </w:rPr>
      <w:instrText>PAGE</w:instrText>
    </w:r>
    <w:r>
      <w:rPr>
        <w:color w:val="7F7F7F"/>
        <w:sz w:val="17"/>
        <w:szCs w:val="17"/>
      </w:rPr>
      <w:fldChar w:fldCharType="separate"/>
    </w:r>
    <w:r w:rsidR="0075687D">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2E03" w14:textId="77777777" w:rsidR="00AD1B0E" w:rsidRDefault="00AD1B0E">
      <w:r>
        <w:separator/>
      </w:r>
    </w:p>
  </w:footnote>
  <w:footnote w:type="continuationSeparator" w:id="0">
    <w:p w14:paraId="7F96E111" w14:textId="77777777" w:rsidR="00AD1B0E" w:rsidRDefault="00AD1B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81A09"/>
    <w:multiLevelType w:val="hybridMultilevel"/>
    <w:tmpl w:val="7F02E90A"/>
    <w:lvl w:ilvl="0" w:tplc="E9365610">
      <w:start w:val="1"/>
      <w:numFmt w:val="bullet"/>
      <w:lvlText w:val="●"/>
      <w:lvlJc w:val="left"/>
      <w:pPr>
        <w:ind w:left="720" w:hanging="360"/>
      </w:pPr>
    </w:lvl>
    <w:lvl w:ilvl="1" w:tplc="3244E6A8">
      <w:start w:val="1"/>
      <w:numFmt w:val="bullet"/>
      <w:lvlText w:val="○"/>
      <w:lvlJc w:val="left"/>
      <w:pPr>
        <w:ind w:left="1440" w:hanging="360"/>
      </w:pPr>
    </w:lvl>
    <w:lvl w:ilvl="2" w:tplc="49640734">
      <w:start w:val="1"/>
      <w:numFmt w:val="bullet"/>
      <w:lvlText w:val="■"/>
      <w:lvlJc w:val="left"/>
      <w:pPr>
        <w:ind w:left="2160" w:hanging="360"/>
      </w:pPr>
    </w:lvl>
    <w:lvl w:ilvl="3" w:tplc="C57CB6C4">
      <w:start w:val="1"/>
      <w:numFmt w:val="bullet"/>
      <w:lvlText w:val="●"/>
      <w:lvlJc w:val="left"/>
      <w:pPr>
        <w:ind w:left="2880" w:hanging="360"/>
      </w:pPr>
    </w:lvl>
    <w:lvl w:ilvl="4" w:tplc="2E085B06">
      <w:start w:val="1"/>
      <w:numFmt w:val="bullet"/>
      <w:lvlText w:val="○"/>
      <w:lvlJc w:val="left"/>
      <w:pPr>
        <w:ind w:left="3600" w:hanging="360"/>
      </w:pPr>
    </w:lvl>
    <w:lvl w:ilvl="5" w:tplc="76401168">
      <w:start w:val="1"/>
      <w:numFmt w:val="bullet"/>
      <w:lvlText w:val="■"/>
      <w:lvlJc w:val="left"/>
      <w:pPr>
        <w:ind w:left="4320" w:hanging="360"/>
      </w:pPr>
    </w:lvl>
    <w:lvl w:ilvl="6" w:tplc="35904A64">
      <w:start w:val="1"/>
      <w:numFmt w:val="bullet"/>
      <w:lvlText w:val="●"/>
      <w:lvlJc w:val="left"/>
      <w:pPr>
        <w:ind w:left="5040" w:hanging="360"/>
      </w:pPr>
    </w:lvl>
    <w:lvl w:ilvl="7" w:tplc="75828CE8">
      <w:start w:val="1"/>
      <w:numFmt w:val="bullet"/>
      <w:lvlText w:val="●"/>
      <w:lvlJc w:val="left"/>
      <w:pPr>
        <w:ind w:left="5760" w:hanging="360"/>
      </w:pPr>
    </w:lvl>
    <w:lvl w:ilvl="8" w:tplc="21C01D80">
      <w:start w:val="1"/>
      <w:numFmt w:val="bullet"/>
      <w:lvlText w:val="●"/>
      <w:lvlJc w:val="left"/>
      <w:pPr>
        <w:ind w:left="6480" w:hanging="360"/>
      </w:pPr>
    </w:lvl>
  </w:abstractNum>
  <w:abstractNum w:abstractNumId="1" w15:restartNumberingAfterBreak="0">
    <w:nsid w:val="70AB0ECC"/>
    <w:multiLevelType w:val="hybridMultilevel"/>
    <w:tmpl w:val="BAF02706"/>
    <w:lvl w:ilvl="0" w:tplc="56B00406">
      <w:start w:val="1"/>
      <w:numFmt w:val="bullet"/>
      <w:lvlText w:val="•"/>
      <w:lvlJc w:val="left"/>
      <w:pPr>
        <w:ind w:left="540" w:hanging="270"/>
      </w:pPr>
    </w:lvl>
    <w:lvl w:ilvl="1" w:tplc="998889D4">
      <w:numFmt w:val="decimal"/>
      <w:lvlText w:val=""/>
      <w:lvlJc w:val="left"/>
    </w:lvl>
    <w:lvl w:ilvl="2" w:tplc="07DAA1FE">
      <w:numFmt w:val="decimal"/>
      <w:lvlText w:val=""/>
      <w:lvlJc w:val="left"/>
    </w:lvl>
    <w:lvl w:ilvl="3" w:tplc="F8600990">
      <w:numFmt w:val="decimal"/>
      <w:lvlText w:val=""/>
      <w:lvlJc w:val="left"/>
    </w:lvl>
    <w:lvl w:ilvl="4" w:tplc="3CE468B4">
      <w:numFmt w:val="decimal"/>
      <w:lvlText w:val=""/>
      <w:lvlJc w:val="left"/>
    </w:lvl>
    <w:lvl w:ilvl="5" w:tplc="442A68FA">
      <w:numFmt w:val="decimal"/>
      <w:lvlText w:val=""/>
      <w:lvlJc w:val="left"/>
    </w:lvl>
    <w:lvl w:ilvl="6" w:tplc="C436E5AE">
      <w:numFmt w:val="decimal"/>
      <w:lvlText w:val=""/>
      <w:lvlJc w:val="left"/>
    </w:lvl>
    <w:lvl w:ilvl="7" w:tplc="EC6EF8F4">
      <w:numFmt w:val="decimal"/>
      <w:lvlText w:val=""/>
      <w:lvlJc w:val="left"/>
    </w:lvl>
    <w:lvl w:ilvl="8" w:tplc="6E96FD78">
      <w:numFmt w:val="decimal"/>
      <w:lvlText w:val=""/>
      <w:lvlJc w:val="left"/>
    </w:lvl>
  </w:abstractNum>
  <w:num w:numId="1" w16cid:durableId="1863351362">
    <w:abstractNumId w:val="0"/>
    <w:lvlOverride w:ilvl="0">
      <w:startOverride w:val="1"/>
    </w:lvlOverride>
  </w:num>
  <w:num w:numId="2" w16cid:durableId="11001830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7A6"/>
    <w:rsid w:val="00265C07"/>
    <w:rsid w:val="006F27A6"/>
    <w:rsid w:val="0075687D"/>
    <w:rsid w:val="00AD1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5B4A4"/>
  <w15:docId w15:val="{29503043-FD93-458A-943E-F495AC6D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70" w:after="70"/>
      <w:outlineLvl w:val="0"/>
    </w:pPr>
    <w:rPr>
      <w:b/>
      <w:bCs/>
      <w:color w:val="1F3864"/>
      <w:sz w:val="25"/>
      <w:szCs w:val="25"/>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1134</Words>
  <Characters>6464</Characters>
  <Application>Microsoft Office Word</Application>
  <DocSecurity>0</DocSecurity>
  <Lines>53</Lines>
  <Paragraphs>15</Paragraphs>
  <ScaleCrop>false</ScaleCrop>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 Transaction &amp; Fraud Analysis – Business Insight Report</dc:title>
  <dc:creator>MONISHPRABHA</dc:creator>
  <cp:lastModifiedBy>Monish prabha</cp:lastModifiedBy>
  <cp:revision>1</cp:revision>
  <dcterms:created xsi:type="dcterms:W3CDTF">2026-10-26T06:41:00Z</dcterms:created>
  <dcterms:modified xsi:type="dcterms:W3CDTF">2026-10-26T06:42:00Z</dcterms:modified>
</cp:coreProperties>
</file>