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0B2545"/>
          <w:sz w:val="40"/>
        </w:rPr>
        <w:t>Archivist model testing and debugging report</w:t>
      </w:r>
    </w:p>
    <w:p>
      <w:pPr>
        <w:spacing w:after="240"/>
      </w:pPr>
      <w:r>
        <w:rPr>
          <w:rFonts w:ascii="Calibri" w:hAnsi="Calibri"/>
          <w:i/>
          <w:color w:val="595959"/>
          <w:sz w:val="21"/>
        </w:rPr>
        <w:t>A/B evaluation of direct generation and retrieval-augmented generation</w:t>
      </w:r>
    </w:p>
    <w:p>
      <w:pPr>
        <w:spacing w:after="240"/>
      </w:pPr>
      <w:r>
        <w:rPr>
          <w:rFonts w:ascii="Calibri" w:hAnsi="Calibri"/>
        </w:rPr>
        <w:t xml:space="preserve">Dataset: </w:t>
      </w:r>
      <w:r>
        <w:rPr>
          <w:rFonts w:ascii="IBM Plex Mono" w:hAnsi="IBM Plex Mono"/>
          <w:sz w:val="19"/>
        </w:rPr>
        <w:t>openstax-1.3-v1</w:t>
      </w:r>
      <w:r>
        <w:rPr>
          <w:rFonts w:ascii="Calibri" w:hAnsi="Calibri"/>
        </w:rPr>
        <w:t xml:space="preserve">  |  Model: </w:t>
      </w:r>
      <w:r>
        <w:rPr>
          <w:rFonts w:ascii="IBM Plex Mono" w:hAnsi="IBM Plex Mono"/>
          <w:sz w:val="19"/>
        </w:rPr>
        <w:t>gemma3:1b</w:t>
      </w:r>
      <w:r>
        <w:rPr>
          <w:rFonts w:ascii="Calibri" w:hAnsi="Calibri"/>
        </w:rPr>
        <w:t xml:space="preserve">  |  Questions: 15  |  Conditions: 2</w:t>
      </w:r>
    </w:p>
    <w:p>
      <w:pPr>
        <w:pStyle w:val="Heading1"/>
      </w:pPr>
      <w:r>
        <w:t>Abstract</w:t>
      </w:r>
    </w:p>
    <w:p>
      <w:r>
        <w:rPr>
          <w:rFonts w:ascii="Calibri" w:hAnsi="Calibri"/>
        </w:rPr>
        <w:t xml:space="preserve">This evaluation tested whether retrieval-augmented generation (RAG) improves Archivist's answers over direct local generation. Both conditions used the same </w:t>
      </w:r>
      <w:r>
        <w:rPr>
          <w:rFonts w:ascii="IBM Plex Mono" w:hAnsi="IBM Plex Mono"/>
          <w:sz w:val="19"/>
        </w:rPr>
        <w:t>gemma3:1b</w:t>
      </w:r>
      <w:r>
        <w:rPr>
          <w:rFonts w:ascii="Calibri" w:hAnsi="Calibri"/>
        </w:rPr>
        <w:t xml:space="preserve"> chat model, temperature of </w:t>
      </w:r>
      <w:r>
        <w:rPr>
          <w:rFonts w:ascii="IBM Plex Mono" w:hAnsi="IBM Plex Mono"/>
          <w:sz w:val="19"/>
        </w:rPr>
        <w:t>0</w:t>
      </w:r>
      <w:r>
        <w:rPr>
          <w:rFonts w:ascii="Calibri" w:hAnsi="Calibri"/>
        </w:rPr>
        <w:t xml:space="preserve">, seed of </w:t>
      </w:r>
      <w:r>
        <w:rPr>
          <w:rFonts w:ascii="IBM Plex Mono" w:hAnsi="IBM Plex Mono"/>
          <w:sz w:val="19"/>
        </w:rPr>
        <w:t>42</w:t>
      </w:r>
      <w:r>
        <w:rPr>
          <w:rFonts w:ascii="Calibri" w:hAnsi="Calibri"/>
        </w:rPr>
        <w:t xml:space="preserve">, and 15-question test set. The no-RAG condition received only each question; the RAG condition also received the three most similar chunks from a local OpenStax course text, selected with </w:t>
      </w:r>
      <w:r>
        <w:rPr>
          <w:rFonts w:ascii="IBM Plex Mono" w:hAnsi="IBM Plex Mono"/>
          <w:sz w:val="19"/>
        </w:rPr>
        <w:t>nomic-embed-text</w:t>
      </w:r>
      <w:r>
        <w:rPr>
          <w:rFonts w:ascii="Calibri" w:hAnsi="Calibri"/>
        </w:rPr>
        <w:t xml:space="preserve"> embeddings and cosine similarity. RAG increased the automated pass rate from 6.7% to 80.0% and mean expected-concept coverage from 0.35 to 0.88. A separate rubric-based review estimated correctness at 56.7% of the available points without RAG and 90.0% with RAG. RAG added modest latency: median response time increased from 0.51 to 0.57 seconds. Error analysis found one retrieval miss, two incomplete RAG answers, unsupported additions in direct answers, and an earlier operational failure that produced blank answers. The results support RAG for source-specific educational questions, while also showing that retrieval success and generation completeness require separate tests.</w:t>
      </w:r>
    </w:p>
    <w:p>
      <w:pPr>
        <w:pStyle w:val="Heading1"/>
      </w:pPr>
      <w:r>
        <w:t>Methodology</w:t>
      </w:r>
    </w:p>
    <w:p>
      <w:r>
        <w:rPr>
          <w:rFonts w:ascii="Calibri" w:hAnsi="Calibri"/>
        </w:rPr>
        <w:t xml:space="preserve">The experiment used an A/B design rather than cross-validation because the goal was to isolate the effect of retrieved context. The versioned dataset, </w:t>
      </w:r>
      <w:r>
        <w:rPr>
          <w:rFonts w:ascii="IBM Plex Mono" w:hAnsi="IBM Plex Mono"/>
          <w:sz w:val="19"/>
        </w:rPr>
        <w:t>openstax-1.3-v1</w:t>
      </w:r>
      <w:r>
        <w:rPr>
          <w:rFonts w:ascii="Calibri" w:hAnsi="Calibri"/>
        </w:rPr>
        <w:t xml:space="preserve">, contains 15 researcher-written questions about a bundled paraphrase of OpenStax </w:t>
      </w:r>
      <w:r>
        <w:rPr>
          <w:rFonts w:ascii="Calibri" w:hAnsi="Calibri"/>
          <w:i/>
        </w:rPr>
        <w:t>Principles of Data Science</w:t>
      </w:r>
      <w:r>
        <w:rPr>
          <w:rFonts w:ascii="Calibri" w:hAnsi="Calibri"/>
        </w:rPr>
        <w:t>, section 1.3. Categories include definitions, comparisons, examples, reasoning, recall, synthesis, and two deliberately unanswerable questions. Each question has a reference answer, expected concepts, and, for unanswerable cases, prohibited details associated with hallucination.</w:t>
      </w:r>
    </w:p>
    <w:p>
      <w:r>
        <w:rPr>
          <w:rFonts w:ascii="Calibri" w:hAnsi="Calibri"/>
        </w:rPr>
        <w:t xml:space="preserve">The runner divided the 6,871-character source into 1,000-character chunks with 200-character overlap. For RAG, it embedded each question and chunk, ranked chunks by cosine similarity, and supplied the top three to the chat model. For no-RAG, it supplied only the question. All 30 responses were produced on macOS ARM64 using Python 3.14.6. The run recorded hashes for the dataset, source, and runner; exact model names; retrieval scores; responses; and latency. These details appear in </w:t>
      </w:r>
      <w:hyperlink r:id="rId11">
        <w:r>
          <w:rPr>
            <w:color w:val="2E74B5"/>
            <w:u w:val="single"/>
          </w:rPr>
          <w:t>`run.json`</w:t>
        </w:r>
      </w:hyperlink>
      <w:r>
        <w:rPr>
          <w:rFonts w:ascii="Calibri" w:hAnsi="Calibri"/>
        </w:rPr>
        <w:t xml:space="preserve">, and the row-level observations appear in </w:t>
      </w:r>
      <w:hyperlink r:id="rId12">
        <w:r>
          <w:rPr>
            <w:color w:val="2E74B5"/>
            <w:u w:val="single"/>
          </w:rPr>
          <w:t>`results.csv`</w:t>
        </w:r>
      </w:hyperlink>
      <w:r>
        <w:rPr>
          <w:rFonts w:ascii="Calibri" w:hAnsi="Calibri"/>
        </w:rPr>
        <w:t>.</w:t>
      </w:r>
    </w:p>
    <w:p>
      <w:r>
        <w:rPr>
          <w:rFonts w:ascii="Calibri" w:hAnsi="Calibri"/>
        </w:rPr>
        <w:t xml:space="preserve">Automated scoring measured the fraction of expected concept groups present in an answer. A response passed at 0.75 coverage or higher and failed if it added a prohibited concept to an unanswerable response. This lexical score is a repeatable screening measure, not a complete semantic judgment. Therefore, a second review used the documented rubric: </w:t>
      </w:r>
      <w:r>
        <w:rPr>
          <w:rFonts w:ascii="IBM Plex Mono" w:hAnsi="IBM Plex Mono"/>
          <w:sz w:val="19"/>
        </w:rPr>
        <w:t>2</w:t>
      </w:r>
      <w:r>
        <w:rPr>
          <w:rFonts w:ascii="Calibri" w:hAnsi="Calibri"/>
        </w:rPr>
        <w:t xml:space="preserve"> for correct and complete, </w:t>
      </w:r>
      <w:r>
        <w:rPr>
          <w:rFonts w:ascii="IBM Plex Mono" w:hAnsi="IBM Plex Mono"/>
          <w:sz w:val="19"/>
        </w:rPr>
        <w:t>1</w:t>
      </w:r>
      <w:r>
        <w:rPr>
          <w:rFonts w:ascii="Calibri" w:hAnsi="Calibri"/>
        </w:rPr>
        <w:t xml:space="preserve"> for partially correct or incomplete, and </w:t>
      </w:r>
      <w:r>
        <w:rPr>
          <w:rFonts w:ascii="IBM Plex Mono" w:hAnsi="IBM Plex Mono"/>
          <w:sz w:val="19"/>
        </w:rPr>
        <w:t>0</w:t>
      </w:r>
      <w:r>
        <w:rPr>
          <w:rFonts w:ascii="Calibri" w:hAnsi="Calibri"/>
        </w:rPr>
        <w:t xml:space="preserve"> for incorrect or missing. Groundedness was evaluated for RAG answers by checking factual claims against the retrieved context. This separation prevents lexical phrasing differences from being mistaken for substantive errors.</w:t>
      </w:r>
    </w:p>
    <w:p>
      <w:pPr>
        <w:pStyle w:val="Heading1"/>
      </w:pPr>
      <w:r>
        <w:t>Results</w:t>
      </w:r>
    </w:p>
    <w:tbl>
      <w:tblPr>
        <w:tblStyle w:val="TableGrid"/>
        <w:tblW w:type="dxa" w:w="10080"/>
        <w:jc w:val="center"/>
        <w:tblLayout w:type="fixed"/>
        <w:tblLook w:firstColumn="1" w:firstRow="1" w:lastColumn="0" w:lastRow="0" w:noHBand="0" w:noVBand="1" w:val="04A0"/>
        <w:tblInd w:w="120" w:type="dxa"/>
      </w:tblPr>
      <w:tblGrid>
        <w:gridCol w:w="3200"/>
        <w:gridCol w:w="1900"/>
        <w:gridCol w:w="1900"/>
        <w:gridCol w:w="3080"/>
      </w:tblGrid>
      <w:tr>
        <w:trPr>
          <w:tblHeader w:val="true"/>
        </w:trPr>
        <w:tc>
          <w:tcPr>
            <w:tcW w:type="dxa" w:w="3200"/>
            <w:shd w:fill="F2F4F7"/>
            <w:tcMar>
              <w:top w:w="80" w:type="dxa"/>
              <w:start w:w="120" w:type="dxa"/>
              <w:bottom w:w="80" w:type="dxa"/>
              <w:end w:w="120" w:type="dxa"/>
            </w:tcMar>
            <w:vAlign w:val="center"/>
          </w:tcPr>
          <w:p>
            <w:pPr>
              <w:spacing w:after="0"/>
              <w:jc w:val="left"/>
            </w:pPr>
            <w:r>
              <w:rPr>
                <w:rFonts w:ascii="Calibri" w:hAnsi="Calibri"/>
                <w:b/>
                <w:sz w:val="17"/>
              </w:rPr>
              <w:t>Metric</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7"/>
              </w:rPr>
              <w:t>No RAG</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7"/>
              </w:rPr>
              <w:t>RAG</w:t>
            </w:r>
          </w:p>
        </w:tc>
        <w:tc>
          <w:tcPr>
            <w:tcW w:type="dxa" w:w="3080"/>
            <w:shd w:fill="F2F4F7"/>
            <w:tcMar>
              <w:top w:w="80" w:type="dxa"/>
              <w:start w:w="120" w:type="dxa"/>
              <w:bottom w:w="80" w:type="dxa"/>
              <w:end w:w="120" w:type="dxa"/>
            </w:tcMar>
            <w:vAlign w:val="center"/>
          </w:tcPr>
          <w:p>
            <w:pPr>
              <w:spacing w:after="0"/>
              <w:jc w:val="center"/>
            </w:pPr>
            <w:r>
              <w:rPr>
                <w:rFonts w:ascii="Calibri" w:hAnsi="Calibri"/>
                <w:b/>
                <w:sz w:val="17"/>
              </w:rPr>
              <w:t>Difference</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Automated pass rate</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6.7%</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80.0%</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+73.3 points</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Mean concept coverage</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0.35</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0.88</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+0.53</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Rubric correctness</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56.7%</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90.0%</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+33.3 points</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Fully correct answers</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26.7%</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80.0%</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+53.3 points</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Median latency</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0.51 s</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0.57 s</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+0.06 s</w:t>
            </w:r>
          </w:p>
        </w:tc>
      </w:tr>
      <w:tr>
        <w:tc>
          <w:tcPr>
            <w:tcW w:type="dxa" w:w="3200"/>
            <w:tcMar>
              <w:top w:w="80" w:type="dxa"/>
              <w:start w:w="120" w:type="dxa"/>
              <w:bottom w:w="80" w:type="dxa"/>
              <w:end w:w="120" w:type="dxa"/>
            </w:tcMar>
            <w:vAlign w:val="center"/>
          </w:tcPr>
          <w:p>
            <w:pPr>
              <w:spacing w:after="0"/>
              <w:jc w:val="left"/>
            </w:pPr>
            <w:r>
              <w:rPr>
                <w:rFonts w:ascii="Calibri" w:hAnsi="Calibri"/>
                <w:b w:val="0"/>
                <w:sz w:val="17"/>
              </w:rPr>
              <w:t>Mean latency</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0.51 s</w:t>
            </w:r>
          </w:p>
        </w:tc>
        <w:tc>
          <w:tcPr>
            <w:tcW w:type="dxa" w:w="1900"/>
            <w:tcMar>
              <w:top w:w="80" w:type="dxa"/>
              <w:start w:w="120" w:type="dxa"/>
              <w:bottom w:w="80" w:type="dxa"/>
              <w:end w:w="120" w:type="dxa"/>
            </w:tcMar>
            <w:vAlign w:val="center"/>
          </w:tcPr>
          <w:p>
            <w:pPr>
              <w:spacing w:after="0"/>
              <w:jc w:val="center"/>
            </w:pPr>
            <w:r>
              <w:rPr>
                <w:rFonts w:ascii="Calibri" w:hAnsi="Calibri"/>
                <w:b w:val="0"/>
                <w:sz w:val="17"/>
              </w:rPr>
              <w:t>0.63 s</w:t>
            </w:r>
          </w:p>
        </w:tc>
        <w:tc>
          <w:tcPr>
            <w:tcW w:type="dxa" w:w="3080"/>
            <w:tcMar>
              <w:top w:w="80" w:type="dxa"/>
              <w:start w:w="120" w:type="dxa"/>
              <w:bottom w:w="80" w:type="dxa"/>
              <w:end w:w="120" w:type="dxa"/>
            </w:tcMar>
            <w:vAlign w:val="center"/>
          </w:tcPr>
          <w:p>
            <w:pPr>
              <w:spacing w:after="0"/>
              <w:jc w:val="center"/>
            </w:pPr>
            <w:r>
              <w:rPr>
                <w:rFonts w:ascii="Calibri" w:hAnsi="Calibri"/>
                <w:b w:val="0"/>
                <w:sz w:val="17"/>
              </w:rPr>
              <w:t>+0.12 s</w:t>
            </w:r>
          </w:p>
        </w:tc>
      </w:tr>
    </w:tbl>
    <w:p>
      <w:pPr>
        <w:spacing w:after="0"/>
      </w:pPr>
    </w:p>
    <w:p>
      <w:r>
        <w:rPr>
          <w:rFonts w:ascii="Calibri" w:hAnsi="Calibri"/>
        </w:rPr>
        <w:t>The RAG condition passed 12 of 15 automated checks; the no-RAG condition passed only the temperature question. Retrieval found sufficient expected evidence for 14 of 15 questions, a 93.3% hit rate. The human rubric was intentionally less binary. Without RAG, four answers were fully correct, nine were partially correct, and two were incorrect, producing 17 of 30 possible points. With RAG, 12 answers were fully correct and three were partially correct, producing 27 of 30 points. All RAG answers remained factually grounded in their retrieved context, including the incomplete responses.</w:t>
      </w:r>
    </w:p>
    <w:p>
      <w:r>
        <w:rPr>
          <w:rFonts w:ascii="Calibri" w:hAnsi="Calibri"/>
        </w:rPr>
        <w:t xml:space="preserve">For auditability, the no-RAG scores for questions 1–15 were </w:t>
      </w:r>
      <w:r>
        <w:rPr>
          <w:rFonts w:ascii="IBM Plex Mono" w:hAnsi="IBM Plex Mono"/>
          <w:sz w:val="19"/>
        </w:rPr>
        <w:t>0, 1, 2, 1, 0, 2, 2, 1, 1, 1, 2, 1, 1, 1, 1</w:t>
      </w:r>
      <w:r>
        <w:rPr>
          <w:rFonts w:ascii="Calibri" w:hAnsi="Calibri"/>
        </w:rPr>
        <w:t xml:space="preserve">; the corresponding RAG scores were </w:t>
      </w:r>
      <w:r>
        <w:rPr>
          <w:rFonts w:ascii="IBM Plex Mono" w:hAnsi="IBM Plex Mono"/>
          <w:sz w:val="19"/>
        </w:rPr>
        <w:t>2, 2, 2, 2, 2, 2, 2, 1, 2, 2, 2, 1, 1, 2, 2</w:t>
      </w:r>
      <w:r>
        <w:rPr>
          <w:rFonts w:ascii="Calibri" w:hAnsi="Calibri"/>
        </w:rPr>
        <w:t>.</w:t>
      </w:r>
    </w:p>
    <w:p>
      <w:r>
        <w:rPr>
          <w:rFonts w:ascii="Calibri" w:hAnsi="Calibri"/>
        </w:rPr>
        <w:t>The two unanswerable questions show the reliability benefit most clearly. RAG declined both questions without adding outside explanations. The no-RAG answers correctly began with “No,” but then asserted unsupported information about cosine-similarity applications and transformer attention. Under a strict course-grounding requirement, these are hallucination-handling failures even though their opening conclusions were correct.</w:t>
      </w:r>
    </w:p>
    <w:p>
      <w:pPr>
        <w:pStyle w:val="Heading1"/>
      </w:pPr>
      <w:r>
        <w:t>Error analysis and debugging</w:t>
      </w:r>
    </w:p>
    <w:p>
      <w:r>
        <w:rPr>
          <w:rFonts w:ascii="Calibri" w:hAnsi="Calibri"/>
        </w:rPr>
        <w:t xml:space="preserve">Three recurring failure types emerged. First, direct generation often produced plausible general knowledge instead of the assigned source's answer. For the datum question, it interpreted </w:t>
      </w:r>
      <w:r>
        <w:rPr>
          <w:rFonts w:ascii="Calibri" w:hAnsi="Calibri"/>
          <w:i/>
        </w:rPr>
        <w:t>datum</w:t>
      </w:r>
      <w:r>
        <w:rPr>
          <w:rFonts w:ascii="Calibri" w:hAnsi="Calibri"/>
        </w:rPr>
        <w:t xml:space="preserve"> as a surveying reference and contrasted it with measurements; this was coherent but wrong for the course definition. For the industry-importance question, it listed common benefits of data while omitting the section's causal explanation: growth in digital data, computing capacity, and large datasets.</w:t>
      </w:r>
    </w:p>
    <w:p>
      <w:r>
        <w:rPr>
          <w:rFonts w:ascii="Calibri" w:hAnsi="Calibri"/>
        </w:rPr>
        <w:t>Second, successful retrieval did not guarantee a complete response. On question 12, the RAG answer stated that transformation makes systematic analysis possible but omitted the conversion to consistent fields or records. On question 13, it identified growth in digital data and computing capacity but omitted the resulting large datasets, insights, decisions, and innovation. These answers were grounded but incomplete, so prompt quality and answer completeness must be tested separately from retrieval.</w:t>
      </w:r>
    </w:p>
    <w:p>
      <w:r>
        <w:rPr>
          <w:rFonts w:ascii="Calibri" w:hAnsi="Calibri"/>
        </w:rPr>
        <w:t xml:space="preserve">Third, question 8 was a retrieval miss. The top-three context supported the finite </w:t>
      </w:r>
      <w:r>
        <w:rPr>
          <w:rFonts w:ascii="IBM Plex Mono" w:hAnsi="IBM Plex Mono"/>
          <w:sz w:val="19"/>
        </w:rPr>
        <w:t>Yes</w:t>
      </w:r>
      <w:r>
        <w:rPr>
          <w:rFonts w:ascii="Calibri" w:hAnsi="Calibri"/>
        </w:rPr>
        <w:t xml:space="preserve"> and </w:t>
      </w:r>
      <w:r>
        <w:rPr>
          <w:rFonts w:ascii="IBM Plex Mono" w:hAnsi="IBM Plex Mono"/>
          <w:sz w:val="19"/>
        </w:rPr>
        <w:t>No</w:t>
      </w:r>
      <w:r>
        <w:rPr>
          <w:rFonts w:ascii="Calibri" w:hAnsi="Calibri"/>
        </w:rPr>
        <w:t xml:space="preserve"> labels, but it did not provide enough evidence for the second required concept: nominal labels have no inherent order. The generated answer repeated the available evidence and therefore received partial credit. This case should remain a regression test for experiments with chunk boundaries, overlap, </w:t>
      </w:r>
      <w:r>
        <w:rPr>
          <w:rFonts w:ascii="IBM Plex Mono" w:hAnsi="IBM Plex Mono"/>
          <w:sz w:val="19"/>
        </w:rPr>
        <w:t>top_k</w:t>
      </w:r>
      <w:r>
        <w:rPr>
          <w:rFonts w:ascii="Calibri" w:hAnsi="Calibri"/>
        </w:rPr>
        <w:t>, or reranking.</w:t>
      </w:r>
    </w:p>
    <w:p>
      <w:r>
        <w:rPr>
          <w:rFonts w:ascii="Calibri" w:hAnsi="Calibri"/>
        </w:rPr>
        <w:t xml:space="preserve">An earlier run at </w:t>
      </w:r>
      <w:r>
        <w:rPr>
          <w:rFonts w:ascii="IBM Plex Mono" w:hAnsi="IBM Plex Mono"/>
          <w:sz w:val="19"/>
        </w:rPr>
        <w:t>20260807T025235Z</w:t>
      </w:r>
      <w:r>
        <w:rPr>
          <w:rFonts w:ascii="Calibri" w:hAnsi="Calibri"/>
        </w:rPr>
        <w:t xml:space="preserve"> revealed an operational failure: all 30 generation requests returned HTTP 404 while embedding and retrieval continued. The resulting artifacts showed 0% pass rates and near-zero latency, values that could be misread as model results. The successful run used the same dataset, source, runner hash, and configuration, which isolates the earlier outcome to the external model-service state. The evaluator now exits unsuccessfully when any model request returns an error and explicitly warns that such scores must not be interpreted as model quality. Offline regression tests continue to check dataset validation, deterministic chunking, scoring, abstention logic, retrieval failure classification, and artifact generation.</w:t>
      </w:r>
    </w:p>
    <w:p>
      <w:pPr>
        <w:pStyle w:val="Heading1"/>
      </w:pPr>
      <w:r>
        <w:t>Reliability practices and limitations</w:t>
      </w:r>
    </w:p>
    <w:p>
      <w:r>
        <w:rPr>
          <w:rFonts w:ascii="Calibri" w:hAnsi="Calibri"/>
        </w:rPr>
        <w:t>The experiment suggests several practices for reliable local RAG evaluation:</w:t>
      </w:r>
    </w:p>
    <w:p>
      <w:pPr>
        <w:pStyle w:val="ListBullet"/>
        <w:spacing w:after="40" w:line="240" w:lineRule="auto"/>
        <w:ind w:left="720" w:hanging="360"/>
      </w:pPr>
      <w:r>
        <w:rPr>
          <w:rFonts w:ascii="Calibri" w:hAnsi="Calibri"/>
        </w:rPr>
        <w:t>Version the dataset and hash the source, runner, and configuration.</w:t>
      </w:r>
    </w:p>
    <w:p>
      <w:pPr>
        <w:pStyle w:val="ListBullet"/>
        <w:spacing w:after="40" w:line="240" w:lineRule="auto"/>
        <w:ind w:left="720" w:hanging="360"/>
      </w:pPr>
      <w:r>
        <w:rPr>
          <w:rFonts w:ascii="Calibri" w:hAnsi="Calibri"/>
        </w:rPr>
        <w:t>Hold model settings constant when comparing retrieval conditions.</w:t>
      </w:r>
    </w:p>
    <w:p>
      <w:pPr>
        <w:pStyle w:val="ListBullet"/>
        <w:spacing w:after="40" w:line="240" w:lineRule="auto"/>
        <w:ind w:left="720" w:hanging="360"/>
      </w:pPr>
      <w:r>
        <w:rPr>
          <w:rFonts w:ascii="Calibri" w:hAnsi="Calibri"/>
        </w:rPr>
        <w:t>Separate retrieval hit rate, generation correctness, groundedness, latency, and operational availability rather than collapsing them into one score.</w:t>
      </w:r>
    </w:p>
    <w:p>
      <w:pPr>
        <w:pStyle w:val="ListBullet"/>
        <w:spacing w:after="40" w:line="240" w:lineRule="auto"/>
        <w:ind w:left="720" w:hanging="360"/>
      </w:pPr>
      <w:r>
        <w:rPr>
          <w:rFonts w:ascii="Calibri" w:hAnsi="Calibri"/>
        </w:rPr>
        <w:t>Preserve failed-run artifacts for debugging, but fail the command and exclude them from quality comparisons.</w:t>
      </w:r>
    </w:p>
    <w:p>
      <w:pPr>
        <w:pStyle w:val="ListBullet"/>
        <w:spacing w:after="40" w:line="240" w:lineRule="auto"/>
        <w:ind w:left="720" w:hanging="360"/>
      </w:pPr>
      <w:r>
        <w:rPr>
          <w:rFonts w:ascii="Calibri" w:hAnsi="Calibri"/>
        </w:rPr>
        <w:t>Convert each observed failure into a stable regression case.</w:t>
      </w:r>
    </w:p>
    <w:p>
      <w:pPr>
        <w:pStyle w:val="ListBullet"/>
        <w:spacing w:after="40" w:line="240" w:lineRule="auto"/>
        <w:ind w:left="720" w:hanging="360"/>
      </w:pPr>
      <w:r>
        <w:rPr>
          <w:rFonts w:ascii="Calibri" w:hAnsi="Calibri"/>
        </w:rPr>
        <w:t>Manually review automated lexical scores, especially for incomplete but valid paraphrases and answers that begin correctly before adding unsupported facts.</w:t>
      </w:r>
    </w:p>
    <w:p>
      <w:r>
        <w:rPr>
          <w:rFonts w:ascii="Calibri" w:hAnsi="Calibri"/>
        </w:rPr>
        <w:t xml:space="preserve">The findings are limited to one short, instructor-prepared source, 15 questions, one local chat model, one embedding model, and one hardware environment. The questions were not independently authored or held out from all development, and the rubric review is subjective. A single deterministic run does not estimate variation across model seeds. Future work should use a larger held-out question set, multiple reviewers, repeated runs, and targeted experiments on </w:t>
      </w:r>
      <w:r>
        <w:rPr>
          <w:rFonts w:ascii="IBM Plex Mono" w:hAnsi="IBM Plex Mono"/>
          <w:sz w:val="19"/>
        </w:rPr>
        <w:t>top_k</w:t>
      </w:r>
      <w:r>
        <w:rPr>
          <w:rFonts w:ascii="Calibri" w:hAnsi="Calibri"/>
        </w:rPr>
        <w:t>, chunk boundaries, and reranking. Within these limits, the evidence supports the conclusion that retrieval substantially improves source-specific correctness and abstention behavior at a small latency cost, while operational checks and manual error analysis remain necessary for trustworthy deployment.</w:t>
      </w:r>
    </w:p>
    <w:p>
      <w:pPr>
        <w:pStyle w:val="Heading1"/>
      </w:pPr>
      <w:r>
        <w:t>Reproduction</w:t>
      </w:r>
    </w:p>
    <w:p>
      <w:r>
        <w:rPr>
          <w:rFonts w:ascii="Calibri" w:hAnsi="Calibri"/>
        </w:rPr>
        <w:t>With Ollama running and both configured models installed, reproduce the evaluation from the repository root:</w:t>
      </w:r>
    </w:p>
    <w:p>
      <w:pPr>
        <w:spacing w:after="20"/>
        <w:ind w:left="360"/>
      </w:pPr>
      <w:r>
        <w:rPr>
          <w:rFonts w:ascii="IBM Plex Mono" w:hAnsi="IBM Plex Mono"/>
          <w:color w:val="1F2937"/>
          <w:sz w:val="18"/>
        </w:rPr>
        <w:t>make evaluate-test</w:t>
      </w:r>
    </w:p>
    <w:p>
      <w:pPr>
        <w:spacing w:after="20"/>
        <w:ind w:left="360"/>
      </w:pPr>
      <w:r>
        <w:rPr>
          <w:rFonts w:ascii="IBM Plex Mono" w:hAnsi="IBM Plex Mono"/>
          <w:color w:val="1F2937"/>
          <w:sz w:val="18"/>
        </w:rPr>
        <w:t>make evaluate</w:t>
      </w:r>
    </w:p>
    <w:p>
      <w:r>
        <w:rPr>
          <w:rFonts w:ascii="Calibri" w:hAnsi="Calibri"/>
        </w:rPr>
        <w:t xml:space="preserve">The successful run's automated summary is available in </w:t>
      </w:r>
      <w:hyperlink r:id="rId13">
        <w:r>
          <w:rPr>
            <w:color w:val="2E74B5"/>
            <w:u w:val="single"/>
          </w:rPr>
          <w:t>`summary.md`</w:t>
        </w:r>
      </w:hyperlink>
      <w:r>
        <w:rPr>
          <w:rFonts w:ascii="Calibri" w:hAnsi="Calibri"/>
        </w:rPr>
        <w:t>. A new live run creates a separate timestamped directory so that prior evidence is not overwritten.</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5959"/>
        <w:sz w:val="17"/>
      </w:rPr>
      <w:t>ARCHIVIST  |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720" w:hanging="3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sults/evaluation/20260807T025557Z/run.json" TargetMode="External"/><Relationship Id="rId12" Type="http://schemas.openxmlformats.org/officeDocument/2006/relationships/hyperlink" Target="../results/evaluation/20260807T025557Z/results.csv" TargetMode="External"/><Relationship Id="rId13" Type="http://schemas.openxmlformats.org/officeDocument/2006/relationships/hyperlink" Target="../results/evaluation/20260807T025557Z/summa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Archivist model testing and debugging report</dc:title>
  <dc:subject>A/B evaluation of direct and retrieval-augmented generation</dc:subject>
  <dc:creator>Nick Moore</dc:creator>
  <cp:keywords>Archivist, RAG, evaluation, debugging, Ollama</cp:keywords>
  <dc:description>generated by python-docx</dc:description>
  <cp:lastModifiedBy/>
  <cp:revision>1</cp:revision>
  <dcterms:created xsi:type="dcterms:W3CDTF">2013-12-23T23:15:00Z</dcterms:created>
  <dcterms:modified xsi:type="dcterms:W3CDTF">2013-12-23T23:15:00Z</dcterms:modified>
  <cp:category/>
</cp:coreProperties>
</file>