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280" w:after="40"/>
              <w:ind w:left="288"/>
            </w:pPr>
            <w:r>
              <w:rPr>
                <w:rFonts w:ascii="Arial" w:hAnsi="Arial"/>
                <w:b/>
                <w:color w:val="FFFFFF"/>
                <w:sz w:val="44"/>
              </w:rPr>
              <w:t>PING</w:t>
            </w:r>
          </w:p>
          <w:p>
            <w:pPr>
              <w:spacing w:before="0" w:after="40"/>
              <w:ind w:left="288"/>
            </w:pPr>
            <w:r>
              <w:rPr>
                <w:rFonts w:ascii="Arial" w:hAnsi="Arial"/>
                <w:color w:val="93C5FD"/>
                <w:sz w:val="26"/>
              </w:rPr>
              <w:t>Investment Synthesis Generator</w:t>
            </w:r>
          </w:p>
          <w:p>
            <w:pPr>
              <w:spacing w:before="0" w:after="280"/>
              <w:ind w:left="288"/>
            </w:pPr>
            <w:r>
              <w:rPr>
                <w:rFonts w:ascii="Arial" w:hAnsi="Arial"/>
                <w:color w:val="CBD5E1"/>
                <w:sz w:val="18"/>
              </w:rPr>
              <w:t>Full Stack Architecture &amp; Data Flow  |  March 2026</w:t>
            </w:r>
          </w:p>
        </w:tc>
      </w:tr>
    </w:tbl>
    <w:p>
      <w:pPr>
        <w:spacing w:after="240" w:before="0"/>
      </w:pPr>
    </w:p>
    <w:p>
      <w:pPr>
        <w:pBdr>
          <w:bottom w:val="single" w:sz="6" w:space="4" w:color="1E40AF"/>
        </w:pBdr>
        <w:spacing w:before="360" w:after="120"/>
      </w:pPr>
      <w:r>
        <w:rPr>
          <w:rFonts w:ascii="Arial" w:hAnsi="Arial"/>
          <w:b/>
          <w:color w:val="0F172A"/>
          <w:sz w:val="26"/>
        </w:rPr>
        <w:t>OVERVIEW</w:t>
      </w:r>
    </w:p>
    <w:p>
      <w:pPr>
        <w:spacing w:after="120" w:before="0"/>
      </w:pPr>
      <w:r>
        <w:rPr>
          <w:rFonts w:ascii="Arial" w:hAnsi="Arial"/>
          <w:color w:val="475569"/>
          <w:sz w:val="20"/>
        </w:rPr>
        <w:t>Ping is an automated multifamily underwriting platform. A user submits a property search through a Chrome extension; the system ingests live rental comps from the RentCast API, populates a pro forma Excel model, generates an investment summary, and delivers the completed model by email — fully automated, with no manual steps required after submission.</w:t>
      </w:r>
    </w:p>
    <w:p>
      <w:pPr>
        <w:pBdr>
          <w:bottom w:val="single" w:sz="6" w:space="4" w:color="1E40AF"/>
        </w:pBdr>
        <w:spacing w:before="360" w:after="120"/>
      </w:pPr>
      <w:r>
        <w:rPr>
          <w:rFonts w:ascii="Arial" w:hAnsi="Arial"/>
          <w:b/>
          <w:color w:val="0F172A"/>
          <w:sz w:val="26"/>
        </w:rPr>
        <w:t>DATA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92"/>
            <w:tcBorders>
              <w:top w:val="single" w:sz="4" w:space="0" w:color="1E40AF"/>
              <w:start w:val="single" w:sz="4" w:space="0" w:color="1E40AF"/>
              <w:bottom w:val="single" w:sz="4" w:space="0" w:color="1E40AF"/>
              <w:end w:val="single" w:sz="4" w:space="0" w:color="1E40AF"/>
            </w:tcBorders>
            <w:shd w:val="clear" w:color="auto" w:fill="0F172A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04"/>
            <w:tcBorders>
              <w:top w:val="single" w:sz="4" w:space="0" w:color="1E40AF"/>
              <w:start w:val="single" w:sz="4" w:space="0" w:color="1E40AF"/>
              <w:bottom w:val="single" w:sz="4" w:space="0" w:color="1E40AF"/>
              <w:end w:val="single" w:sz="4" w:space="0" w:color="1E40AF"/>
            </w:tcBorders>
            <w:shd w:val="clear" w:color="auto" w:fill="0F172A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264"/>
            <w:tcBorders>
              <w:top w:val="single" w:sz="4" w:space="0" w:color="1E40AF"/>
              <w:start w:val="single" w:sz="4" w:space="0" w:color="1E40AF"/>
              <w:bottom w:val="single" w:sz="4" w:space="0" w:color="1E40AF"/>
              <w:end w:val="single" w:sz="4" w:space="0" w:color="1E40AF"/>
            </w:tcBorders>
            <w:shd w:val="clear" w:color="auto" w:fill="0F172A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792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b/>
                <w:color w:val="1E40AF"/>
                <w:sz w:val="18"/>
              </w:rPr>
              <w:t>01</w:t>
            </w:r>
          </w:p>
        </w:tc>
        <w:tc>
          <w:tcPr>
            <w:tcW w:type="dxa" w:w="2304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b/>
                <w:color w:val="0F172A"/>
                <w:sz w:val="18"/>
              </w:rPr>
              <w:t>Chrome Extension</w:t>
            </w:r>
          </w:p>
        </w:tc>
        <w:tc>
          <w:tcPr>
            <w:tcW w:type="dxa" w:w="6264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color w:val="475569"/>
                <w:sz w:val="18"/>
              </w:rPr>
              <w:t>User enters property address, acquisition price, improvements cost, building SF, unit mix combos, comp radius, and status filter. Submits to Apps Script endpoint.</w:t>
            </w:r>
          </w:p>
        </w:tc>
      </w:tr>
      <w:tr>
        <w:tc>
          <w:tcPr>
            <w:tcW w:type="dxa" w:w="792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b/>
                <w:color w:val="1E40AF"/>
                <w:sz w:val="18"/>
              </w:rPr>
              <w:t>02</w:t>
            </w:r>
          </w:p>
        </w:tc>
        <w:tc>
          <w:tcPr>
            <w:tcW w:type="dxa" w:w="2304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b/>
                <w:color w:val="0F172A"/>
                <w:sz w:val="18"/>
              </w:rPr>
              <w:t>Google Apps Script + Sheets</w:t>
            </w:r>
          </w:p>
        </w:tc>
        <w:tc>
          <w:tcPr>
            <w:tcW w:type="dxa" w:w="6264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color w:val="475569"/>
                <w:sz w:val="18"/>
              </w:rPr>
              <w:t>Apps Script web app receives the POST, geocodes the address via Google Maps API, assigns a unique Search ID (SRCH-YYYYMMDD-###), and logs each unit combo as a row in the 'Saved Searches' sheet with status NEW.</w:t>
            </w:r>
          </w:p>
        </w:tc>
      </w:tr>
      <w:tr>
        <w:tc>
          <w:tcPr>
            <w:tcW w:type="dxa" w:w="792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b/>
                <w:color w:val="1E40AF"/>
                <w:sz w:val="18"/>
              </w:rPr>
              <w:t>03</w:t>
            </w:r>
          </w:p>
        </w:tc>
        <w:tc>
          <w:tcPr>
            <w:tcW w:type="dxa" w:w="2304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b/>
                <w:color w:val="0F172A"/>
                <w:sz w:val="18"/>
              </w:rPr>
              <w:t>Python Pipeline</w:t>
            </w:r>
          </w:p>
        </w:tc>
        <w:tc>
          <w:tcPr>
            <w:tcW w:type="dxa" w:w="6264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color w:val="475569"/>
                <w:sz w:val="18"/>
              </w:rPr>
              <w:t>Pipeline polls the Apps Script getNewSearches endpoint for NEW rows. Groups rows by Search ID. Marks each search PROCESSING while running.</w:t>
            </w:r>
          </w:p>
        </w:tc>
      </w:tr>
      <w:tr>
        <w:tc>
          <w:tcPr>
            <w:tcW w:type="dxa" w:w="792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b/>
                <w:color w:val="1E40AF"/>
                <w:sz w:val="18"/>
              </w:rPr>
              <w:t>04</w:t>
            </w:r>
          </w:p>
        </w:tc>
        <w:tc>
          <w:tcPr>
            <w:tcW w:type="dxa" w:w="2304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b/>
                <w:color w:val="0F172A"/>
                <w:sz w:val="18"/>
              </w:rPr>
              <w:t>RentCast API</w:t>
            </w:r>
          </w:p>
        </w:tc>
        <w:tc>
          <w:tcPr>
            <w:tcW w:type="dxa" w:w="6264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color w:val="475569"/>
                <w:sz w:val="18"/>
              </w:rPr>
              <w:t>For each unit combo, pipeline calls the RentCast rental listings API with lat/lng, radius, bed/bath filter, and status. Returns active rental comps with price, SF, property type, and distance from subject.</w:t>
            </w:r>
          </w:p>
        </w:tc>
      </w:tr>
      <w:tr>
        <w:tc>
          <w:tcPr>
            <w:tcW w:type="dxa" w:w="792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b/>
                <w:color w:val="1E40AF"/>
                <w:sz w:val="18"/>
              </w:rPr>
              <w:t>05</w:t>
            </w:r>
          </w:p>
        </w:tc>
        <w:tc>
          <w:tcPr>
            <w:tcW w:type="dxa" w:w="2304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b/>
                <w:color w:val="0F172A"/>
                <w:sz w:val="18"/>
              </w:rPr>
              <w:t>Excel Model + Email</w:t>
            </w:r>
          </w:p>
        </w:tc>
        <w:tc>
          <w:tcPr>
            <w:tcW w:type="dxa" w:w="6264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72"/>
            </w:pPr>
            <w:r>
              <w:rPr>
                <w:rFonts w:ascii="Arial" w:hAnsi="Arial"/>
                <w:color w:val="475569"/>
                <w:sz w:val="18"/>
              </w:rPr>
              <w:t>Comp data is injected into the Raw Comps and Rent Assumptions sheets of the Excel template. The Inputs sheet is updated with subject property data. Model is saved as a named file and emailed to the requester with an investment summary. Sheets row marked DONE.</w:t>
            </w:r>
          </w:p>
        </w:tc>
      </w:tr>
    </w:tbl>
    <w:p>
      <w:pPr>
        <w:spacing w:after="160" w:before="0"/>
      </w:pPr>
    </w:p>
    <w:p>
      <w:pPr>
        <w:pBdr>
          <w:bottom w:val="single" w:sz="6" w:space="4" w:color="1E40AF"/>
        </w:pBdr>
        <w:spacing w:before="360" w:after="120"/>
      </w:pPr>
      <w:r>
        <w:rPr>
          <w:rFonts w:ascii="Arial" w:hAnsi="Arial"/>
          <w:b/>
          <w:color w:val="0F172A"/>
          <w:sz w:val="26"/>
        </w:rPr>
        <w:t>STACK COMPONENTS</w:t>
      </w:r>
    </w:p>
    <w:p>
      <w:pPr>
        <w:spacing w:before="240" w:after="80"/>
      </w:pPr>
      <w:r>
        <w:rPr>
          <w:rFonts w:ascii="Arial" w:hAnsi="Arial"/>
          <w:b/>
          <w:color w:val="1E40AF"/>
          <w:sz w:val="22"/>
        </w:rPr>
        <w:t>1. Chrome Extension  (rentcast-comps-v3)</w:t>
      </w:r>
    </w:p>
    <w:p>
      <w:pPr>
        <w:spacing w:after="60" w:before="0"/>
      </w:pPr>
      <w:r>
        <w:rPr>
          <w:rFonts w:ascii="Arial" w:hAnsi="Arial"/>
          <w:color w:val="475569"/>
          <w:sz w:val="20"/>
        </w:rPr>
        <w:t>A Manifest V3 Chrome extension with a side panel UI. Built in vanilla JS/HTML.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Interface: </w:t>
      </w:r>
      <w:r>
        <w:rPr>
          <w:rFonts w:ascii="Arial" w:hAnsi="Arial"/>
          <w:color w:val="475569"/>
          <w:sz w:val="20"/>
        </w:rPr>
        <w:t>Opens as a Chrome side panel on toolbar click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Inputs: </w:t>
      </w:r>
      <w:r>
        <w:rPr>
          <w:rFonts w:ascii="Arial" w:hAnsi="Arial"/>
          <w:color w:val="475569"/>
          <w:sz w:val="20"/>
        </w:rPr>
        <w:t>Collects: address, email, price, cost, building SF, total units, unit mix matrix (up to 5 bed/bath combos), radius, comp count range, listing status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Geocoding: </w:t>
      </w:r>
      <w:r>
        <w:rPr>
          <w:rFonts w:ascii="Arial" w:hAnsi="Arial"/>
          <w:color w:val="475569"/>
          <w:sz w:val="20"/>
        </w:rPr>
        <w:t>Geocodes the address in real-time via the Apps Script endpoint; displays lat/lng pill for confirmation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Persistence: </w:t>
      </w:r>
      <w:r>
        <w:rPr>
          <w:rFonts w:ascii="Arial" w:hAnsi="Arial"/>
          <w:color w:val="475569"/>
          <w:sz w:val="20"/>
        </w:rPr>
        <w:t>Stores form state in chrome.storage.sync so inputs persist across sessions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History: </w:t>
      </w:r>
      <w:r>
        <w:rPr>
          <w:rFonts w:ascii="Arial" w:hAnsi="Arial"/>
          <w:color w:val="475569"/>
          <w:sz w:val="20"/>
        </w:rPr>
        <w:t>Displays run history (last 8 searches) with Search ID, address, and success/error status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API Target: </w:t>
      </w:r>
      <w:r>
        <w:rPr>
          <w:rFonts w:ascii="Arial" w:hAnsi="Arial"/>
          <w:color w:val="475569"/>
          <w:sz w:val="20"/>
        </w:rPr>
        <w:t>Calls the Apps Script web app URL (user-configured, stored in extension storage)</w:t>
      </w:r>
    </w:p>
    <w:p>
      <w:pPr>
        <w:spacing w:after="80" w:before="0"/>
      </w:pPr>
    </w:p>
    <w:p>
      <w:pPr>
        <w:spacing w:before="240" w:after="80"/>
      </w:pPr>
      <w:r>
        <w:rPr>
          <w:rFonts w:ascii="Arial" w:hAnsi="Arial"/>
          <w:b/>
          <w:color w:val="1E40AF"/>
          <w:sz w:val="22"/>
        </w:rPr>
        <w:t>2. Google Apps Script  (apps-script.gs)</w:t>
      </w:r>
    </w:p>
    <w:p>
      <w:pPr>
        <w:spacing w:after="60" w:before="0"/>
      </w:pPr>
      <w:r>
        <w:rPr>
          <w:rFonts w:ascii="Arial" w:hAnsi="Arial"/>
          <w:color w:val="475569"/>
          <w:sz w:val="20"/>
        </w:rPr>
        <w:t>A deployed Apps Script web app serving as the intake API. Execute as Me, accessible to Anyone.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GET ?action=geocode: </w:t>
      </w:r>
      <w:r>
        <w:rPr>
          <w:rFonts w:ascii="Arial" w:hAnsi="Arial"/>
          <w:color w:val="475569"/>
          <w:sz w:val="20"/>
        </w:rPr>
        <w:t>Geocodes address using Google Maps API (lat/lng + formatted address)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GET ?action=search: </w:t>
      </w:r>
      <w:r>
        <w:rPr>
          <w:rFonts w:ascii="Arial" w:hAnsi="Arial"/>
          <w:color w:val="475569"/>
          <w:sz w:val="20"/>
        </w:rPr>
        <w:t>Logs each unit combo as a row to the 'Saved Searches' Google Sheet; sets Run Status = NEW (green); writes a UTC→ET normalized time formula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GET ?action=getNewSearches: </w:t>
      </w:r>
      <w:r>
        <w:rPr>
          <w:rFonts w:ascii="Arial" w:hAnsi="Arial"/>
          <w:color w:val="475569"/>
          <w:sz w:val="20"/>
        </w:rPr>
        <w:t>Returns all rows with Run Status = NEW as a JSON array for the Python pipeline to consume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GET ?action=updateStatus: </w:t>
      </w:r>
      <w:r>
        <w:rPr>
          <w:rFonts w:ascii="Arial" w:hAnsi="Arial"/>
          <w:color w:val="475569"/>
          <w:sz w:val="20"/>
        </w:rPr>
        <w:t>Sets Run Status cell to PROCESSING (orange), DONE (blue), or ERROR (red) for any searchId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Migration: </w:t>
      </w:r>
      <w:r>
        <w:rPr>
          <w:rFonts w:ascii="Arial" w:hAnsi="Arial"/>
          <w:color w:val="475569"/>
          <w:sz w:val="20"/>
        </w:rPr>
        <w:t>Handles schema migrations: adds Price, Cost, Building SqFt columns to existing sheets without data loss</w:t>
      </w:r>
    </w:p>
    <w:p>
      <w:pPr>
        <w:spacing w:after="80" w:before="0"/>
      </w:pPr>
    </w:p>
    <w:p>
      <w:pPr>
        <w:spacing w:before="240" w:after="80"/>
      </w:pPr>
      <w:r>
        <w:rPr>
          <w:rFonts w:ascii="Arial" w:hAnsi="Arial"/>
          <w:b/>
          <w:color w:val="1E40AF"/>
          <w:sz w:val="22"/>
        </w:rPr>
        <w:t>3. Google Sheets  (Saved Searches)</w:t>
      </w:r>
    </w:p>
    <w:p>
      <w:pPr>
        <w:spacing w:after="60" w:before="0"/>
      </w:pPr>
      <w:r>
        <w:rPr>
          <w:rFonts w:ascii="Arial" w:hAnsi="Arial"/>
          <w:color w:val="475569"/>
          <w:sz w:val="20"/>
        </w:rPr>
        <w:t>Acts as the job queue and audit log. Every comp search submission is persisted here.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Columns: </w:t>
      </w:r>
      <w:r>
        <w:rPr>
          <w:rFonts w:ascii="Arial" w:hAnsi="Arial"/>
          <w:color w:val="475569"/>
          <w:sz w:val="20"/>
        </w:rPr>
        <w:t>Search ID, Timestamp, Email, Address, Lat/Lng, Radius, Min/Max Comps, Status filter, Total Units, Price, Cost, Building SqFt, Beds, Baths, Unit Type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Run Status: </w:t>
      </w:r>
      <w:r>
        <w:rPr>
          <w:rFonts w:ascii="Arial" w:hAnsi="Arial"/>
          <w:color w:val="475569"/>
          <w:sz w:val="20"/>
        </w:rPr>
        <w:t>NEW → PROCESSING → DONE / ERROR, color-coded for visual monitoring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Audit Trail: </w:t>
      </w:r>
      <w:r>
        <w:rPr>
          <w:rFonts w:ascii="Arial" w:hAnsi="Arial"/>
          <w:color w:val="475569"/>
          <w:sz w:val="20"/>
        </w:rPr>
        <w:t>All searches are retained; Run Status is the only column modified post-submission</w:t>
      </w:r>
    </w:p>
    <w:p>
      <w:pPr>
        <w:spacing w:after="80" w:before="0"/>
      </w:pPr>
    </w:p>
    <w:p>
      <w:pPr>
        <w:spacing w:before="240" w:after="80"/>
      </w:pPr>
      <w:r>
        <w:rPr>
          <w:rFonts w:ascii="Arial" w:hAnsi="Arial"/>
          <w:b/>
          <w:color w:val="1E40AF"/>
          <w:sz w:val="22"/>
        </w:rPr>
        <w:t>4. Python Pipeline  (pipeline.py)</w:t>
      </w:r>
    </w:p>
    <w:p>
      <w:pPr>
        <w:spacing w:after="60" w:before="0"/>
      </w:pPr>
      <w:r>
        <w:rPr>
          <w:rFonts w:ascii="Arial" w:hAnsi="Arial"/>
          <w:color w:val="475569"/>
          <w:sz w:val="20"/>
        </w:rPr>
        <w:t>Runs locally on the operator's machine. Triggered manually from the Cowork sidebar (can be converted to a timed schedule).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Orchestration: </w:t>
      </w:r>
      <w:r>
        <w:rPr>
          <w:rFonts w:ascii="Arial" w:hAnsi="Arial"/>
          <w:color w:val="475569"/>
          <w:sz w:val="20"/>
        </w:rPr>
        <w:t>Calls GAS getNewSearches → groups rows by Search ID → processes each search sequentially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RentCast Ingestion: </w:t>
      </w:r>
      <w:r>
        <w:rPr>
          <w:rFonts w:ascii="Arial" w:hAnsi="Arial"/>
          <w:color w:val="475569"/>
          <w:sz w:val="20"/>
        </w:rPr>
        <w:t>Calls RentCast rental listings API per unit combo: lat/lng, radius, bed/bath filters, status, limit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Distance Scoring: </w:t>
      </w:r>
      <w:r>
        <w:rPr>
          <w:rFonts w:ascii="Arial" w:hAnsi="Arial"/>
          <w:color w:val="475569"/>
          <w:sz w:val="20"/>
        </w:rPr>
        <w:t>Computes haversine distance from subject to each comp, sorts by proximity, assigns rank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Excel Population: </w:t>
      </w:r>
      <w:r>
        <w:rPr>
          <w:rFonts w:ascii="Arial" w:hAnsi="Arial"/>
          <w:color w:val="475569"/>
          <w:sz w:val="20"/>
        </w:rPr>
        <w:t>Copies Excel template, writes Raw Comps (all comps), Rent Assumptions (search metadata + aggregated averages), Inputs (subject property data)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Summary Generation: </w:t>
      </w:r>
      <w:r>
        <w:rPr>
          <w:rFonts w:ascii="Arial" w:hAnsi="Arial"/>
          <w:color w:val="475569"/>
          <w:sz w:val="20"/>
        </w:rPr>
        <w:t>Generates plain-text investment summary: subject property metrics, per-combo avg rent, avg SF, rent/SF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Email Delivery: </w:t>
      </w:r>
      <w:r>
        <w:rPr>
          <w:rFonts w:ascii="Arial" w:hAnsi="Arial"/>
          <w:color w:val="475569"/>
          <w:sz w:val="20"/>
        </w:rPr>
        <w:t>Sends .xlsx attachment via Gmail SMTP (SSL) with investment summary as email body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Status Writeback: </w:t>
      </w:r>
      <w:r>
        <w:rPr>
          <w:rFonts w:ascii="Arial" w:hAnsi="Arial"/>
          <w:color w:val="475569"/>
          <w:sz w:val="20"/>
        </w:rPr>
        <w:t>Calls GAS updateStatus to mark searchId DONE or ERROR in Sheets</w:t>
      </w:r>
    </w:p>
    <w:p>
      <w:pPr>
        <w:spacing w:after="80" w:before="0"/>
      </w:pPr>
    </w:p>
    <w:p>
      <w:pPr>
        <w:spacing w:before="240" w:after="80"/>
      </w:pPr>
      <w:r>
        <w:rPr>
          <w:rFonts w:ascii="Arial" w:hAnsi="Arial"/>
          <w:b/>
          <w:color w:val="1E40AF"/>
          <w:sz w:val="22"/>
        </w:rPr>
        <w:t>5. RentCast API</w:t>
      </w:r>
    </w:p>
    <w:p>
      <w:pPr>
        <w:spacing w:after="60" w:before="0"/>
      </w:pPr>
      <w:r>
        <w:rPr>
          <w:rFonts w:ascii="Arial" w:hAnsi="Arial"/>
          <w:color w:val="475569"/>
          <w:sz w:val="20"/>
        </w:rPr>
        <w:t>Third-party rental comps data provider. API key stored in config.json.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Endpoint: </w:t>
      </w:r>
      <w:r>
        <w:rPr>
          <w:rFonts w:ascii="Arial" w:hAnsi="Arial"/>
          <w:color w:val="475569"/>
          <w:sz w:val="20"/>
        </w:rPr>
        <w:t>GET /v1/listings/rental — filtered by lat/lng, radius, bedrooms, bathrooms, status, limit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Fields Used: </w:t>
      </w:r>
      <w:r>
        <w:rPr>
          <w:rFonts w:ascii="Arial" w:hAnsi="Arial"/>
          <w:color w:val="475569"/>
          <w:sz w:val="20"/>
        </w:rPr>
        <w:t>formattedAddress, price (monthly rent), bedrooms, bathrooms, squareFootage, propertyType, status, daysOnMarket, latitude, longitude, listingUrl, id</w:t>
      </w:r>
    </w:p>
    <w:p>
      <w:pPr>
        <w:pStyle w:val="ListBullet"/>
        <w:spacing w:after="40" w:before="0"/>
        <w:ind w:left="360"/>
      </w:pPr>
      <w:r>
        <w:rPr>
          <w:rFonts w:ascii="Arial" w:hAnsi="Arial"/>
          <w:b/>
          <w:color w:val="0F172A"/>
          <w:sz w:val="20"/>
        </w:rPr>
        <w:t xml:space="preserve">Limits: </w:t>
      </w:r>
      <w:r>
        <w:rPr>
          <w:rFonts w:ascii="Arial" w:hAnsi="Arial"/>
          <w:color w:val="475569"/>
          <w:sz w:val="20"/>
        </w:rPr>
        <w:t>Up to 500 results per call; one call per unit-mix combo per search</w:t>
      </w:r>
    </w:p>
    <w:p>
      <w:pPr>
        <w:spacing w:after="80" w:before="0"/>
      </w:pPr>
    </w:p>
    <w:p>
      <w:pPr>
        <w:spacing w:before="240" w:after="80"/>
      </w:pPr>
      <w:r>
        <w:rPr>
          <w:rFonts w:ascii="Arial" w:hAnsi="Arial"/>
          <w:b/>
          <w:color w:val="1E40AF"/>
          <w:sz w:val="22"/>
        </w:rPr>
        <w:t>6. Excel Underwriting Model  (Multifamily Model Template.xlsx)</w:t>
      </w:r>
    </w:p>
    <w:p>
      <w:pPr>
        <w:spacing w:after="60" w:before="0"/>
      </w:pPr>
      <w:r>
        <w:rPr>
          <w:rFonts w:ascii="Arial" w:hAnsi="Arial"/>
          <w:color w:val="475569"/>
          <w:sz w:val="20"/>
        </w:rPr>
        <w:t>9-sheet pro forma model. Pipeline populates Raw Comps, Rent Assumptions, and Inputs sheets; all other sheets update via existing cross-sheet formulas.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EFF6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0F172A"/>
                <w:sz w:val="18"/>
              </w:rPr>
              <w:t>Raw Comps</w:t>
            </w:r>
          </w:p>
        </w:tc>
        <w:tc>
          <w:tcPr>
            <w:tcW w:type="dxa" w:w="6336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EFF6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475569"/>
                <w:sz w:val="18"/>
              </w:rPr>
              <w:t>API-ingested comp listings. Pipeline writes all columns: rank, distance, filter params, address, price, beds/baths, SF, property type, status, URL.</w:t>
            </w:r>
          </w:p>
        </w:tc>
      </w:tr>
      <w:tr>
        <w:tc>
          <w:tcPr>
            <w:tcW w:type="dxa" w:w="3024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0F172A"/>
                <w:sz w:val="18"/>
              </w:rPr>
              <w:t>Rent Assumptions</w:t>
            </w:r>
          </w:p>
        </w:tc>
        <w:tc>
          <w:tcPr>
            <w:tcW w:type="dxa" w:w="6336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475569"/>
                <w:sz w:val="18"/>
              </w:rPr>
              <w:t>Search metadata (Search ID, email, lat/lng, radius) + per-combo avg rent and avg SF aggregated from Raw Comps.</w:t>
            </w:r>
          </w:p>
        </w:tc>
      </w:tr>
      <w:tr>
        <w:tc>
          <w:tcPr>
            <w:tcW w:type="dxa" w:w="3024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EFF6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0F172A"/>
                <w:sz w:val="18"/>
              </w:rPr>
              <w:t>Inputs</w:t>
            </w:r>
          </w:p>
        </w:tc>
        <w:tc>
          <w:tcPr>
            <w:tcW w:type="dxa" w:w="6336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EFF6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475569"/>
                <w:sz w:val="18"/>
              </w:rPr>
              <w:t>Subject property inputs: name, acquisition price, unit mix with rents sourced from Rent Assumptions. Blue cells = user inputs.</w:t>
            </w:r>
          </w:p>
        </w:tc>
      </w:tr>
      <w:tr>
        <w:tc>
          <w:tcPr>
            <w:tcW w:type="dxa" w:w="3024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0F172A"/>
                <w:sz w:val="18"/>
              </w:rPr>
              <w:t>Assumptions</w:t>
            </w:r>
          </w:p>
        </w:tc>
        <w:tc>
          <w:tcPr>
            <w:tcW w:type="dxa" w:w="6336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475569"/>
                <w:sz w:val="18"/>
              </w:rPr>
              <w:t>Full acquisition model: closing costs, unit mix &amp; rent schedule, operating expense assumptions, CapEx reserves.</w:t>
            </w:r>
          </w:p>
        </w:tc>
      </w:tr>
      <w:tr>
        <w:tc>
          <w:tcPr>
            <w:tcW w:type="dxa" w:w="3024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EFF6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0F172A"/>
                <w:sz w:val="18"/>
              </w:rPr>
              <w:t>Cash Flow</w:t>
            </w:r>
          </w:p>
        </w:tc>
        <w:tc>
          <w:tcPr>
            <w:tcW w:type="dxa" w:w="6336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EFF6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475569"/>
                <w:sz w:val="18"/>
              </w:rPr>
              <w:t>10-year annual pro forma: GPR, rent growth, vacancy, EGI, OpEx, NOI — all formula-driven from Assumptions.</w:t>
            </w:r>
          </w:p>
        </w:tc>
      </w:tr>
      <w:tr>
        <w:tc>
          <w:tcPr>
            <w:tcW w:type="dxa" w:w="3024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0F172A"/>
                <w:sz w:val="18"/>
              </w:rPr>
              <w:t>Pricing Scenarios</w:t>
            </w:r>
          </w:p>
        </w:tc>
        <w:tc>
          <w:tcPr>
            <w:tcW w:type="dxa" w:w="6336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475569"/>
                <w:sz w:val="18"/>
              </w:rPr>
              <w:t>Cap rate sensitivity table: implied acquisition price vs. levered IRR, avg CoC, exit multiple across a range of entry cap rates.</w:t>
            </w:r>
          </w:p>
        </w:tc>
      </w:tr>
      <w:tr>
        <w:tc>
          <w:tcPr>
            <w:tcW w:type="dxa" w:w="3024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EFF6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0F172A"/>
                <w:sz w:val="18"/>
              </w:rPr>
              <w:t>Returns</w:t>
            </w:r>
          </w:p>
        </w:tc>
        <w:tc>
          <w:tcPr>
            <w:tcW w:type="dxa" w:w="6336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EFF6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475569"/>
                <w:sz w:val="18"/>
              </w:rPr>
              <w:t>Exit &amp; returns analysis: hold period, exit cap, selling costs, equity waterfall (GP co-invest, LP pref, GP promote).</w:t>
            </w:r>
          </w:p>
        </w:tc>
      </w:tr>
      <w:tr>
        <w:tc>
          <w:tcPr>
            <w:tcW w:type="dxa" w:w="3024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0F172A"/>
                <w:sz w:val="18"/>
              </w:rPr>
              <w:t>Debt Schedule</w:t>
            </w:r>
          </w:p>
        </w:tc>
        <w:tc>
          <w:tcPr>
            <w:tcW w:type="dxa" w:w="6336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FFFF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475569"/>
                <w:sz w:val="18"/>
              </w:rPr>
              <w:t>Full month-by-month amortization: IO period, amortizing payments, interest, principal, ending balance.</w:t>
            </w:r>
          </w:p>
        </w:tc>
      </w:tr>
      <w:tr>
        <w:tc>
          <w:tcPr>
            <w:tcW w:type="dxa" w:w="3024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EFF6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b/>
                <w:color w:val="0F172A"/>
                <w:sz w:val="18"/>
              </w:rPr>
              <w:t>ZZZOLD</w:t>
            </w:r>
          </w:p>
        </w:tc>
        <w:tc>
          <w:tcPr>
            <w:tcW w:type="dxa" w:w="6336"/>
            <w:tcBorders>
              <w:top w:val="single" w:sz="4" w:space="0" w:color="DBEAFE"/>
              <w:start w:val="single" w:sz="4" w:space="0" w:color="DBEAFE"/>
              <w:bottom w:val="single" w:sz="4" w:space="0" w:color="DBEAFE"/>
              <w:end w:val="single" w:sz="4" w:space="0" w:color="DBEAFE"/>
            </w:tcBorders>
            <w:shd w:val="clear" w:color="auto" w:fill="EFF6FF"/>
          </w:tcPr>
          <w:p>
            <w:pPr>
              <w:spacing w:before="80" w:after="80"/>
              <w:ind w:left="72"/>
            </w:pPr>
            <w:r>
              <w:rPr>
                <w:rFonts w:ascii="Arial" w:hAnsi="Arial"/>
                <w:color w:val="475569"/>
                <w:sz w:val="18"/>
              </w:rPr>
              <w:t>Legacy / archive tab. Not used in pipeline.</w:t>
            </w:r>
          </w:p>
        </w:tc>
      </w:tr>
    </w:tbl>
    <w:p>
      <w:pPr>
        <w:spacing w:after="160" w:before="0"/>
      </w:pPr>
    </w:p>
    <w:p>
      <w:pPr>
        <w:pBdr>
          <w:bottom w:val="single" w:sz="6" w:space="4" w:color="1E40AF"/>
        </w:pBdr>
        <w:spacing w:before="360" w:after="120"/>
      </w:pPr>
      <w:r>
        <w:rPr>
          <w:rFonts w:ascii="Arial" w:hAnsi="Arial"/>
          <w:b/>
          <w:color w:val="0F172A"/>
          <w:sz w:val="26"/>
        </w:rPr>
        <w:t>CONFIGURATION</w:t>
      </w:r>
    </w:p>
    <w:p>
      <w:pPr>
        <w:spacing w:after="80" w:before="0"/>
      </w:pPr>
      <w:r>
        <w:rPr>
          <w:rFonts w:ascii="Arial" w:hAnsi="Arial"/>
          <w:color w:val="475569"/>
          <w:sz w:val="20"/>
        </w:rPr>
        <w:t>All configurable values live in Pipeline/config.json: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gas_url            — Apps Script deployed web app URL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rentcast_api_key   — RentCast API key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email.sender       — Gmail address used for outbound email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email.app_password — Gmail App Password (not account password)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email.default_recipient — Fallback recipient if search email is missing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output_dir         — Where generated .xlsx files are saved (default: Pipeline/output/)</w:t>
      </w:r>
    </w:p>
    <w:p>
      <w:pPr>
        <w:spacing w:after="80" w:before="0"/>
      </w:pPr>
    </w:p>
    <w:p>
      <w:pPr>
        <w:pBdr>
          <w:bottom w:val="single" w:sz="6" w:space="4" w:color="1E40AF"/>
        </w:pBdr>
        <w:spacing w:before="360" w:after="120"/>
      </w:pPr>
      <w:r>
        <w:rPr>
          <w:rFonts w:ascii="Arial" w:hAnsi="Arial"/>
          <w:b/>
          <w:color w:val="0F172A"/>
          <w:sz w:val="26"/>
        </w:rPr>
        <w:t>FILE STRUCTURE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Ping/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├── Extension/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│   └── rentcast-comps-v3/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│       ├── manifest.json        Chrome extension manifest (MV3)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│       ├── sidepanel.html/js    Extension UI &amp; logic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│       ├── background.js        Service worker (side panel opener)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│       └── apps-script.gs       Google Apps Script backend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├── Pipeline/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│   ├── pipeline.py              Main orchestration script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│   ├── config.json              API keys, email, paths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│   ├── requirements.txt         Python deps (openpyxl, requests)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│   └── output/                  Generated .xlsx files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>└── Underwriting Folder/</w:t>
      </w:r>
    </w:p>
    <w:p>
      <w:pPr>
        <w:shd w:val="clear" w:color="auto" w:fill="F1F5F9"/>
        <w:spacing w:after="120" w:before="40"/>
        <w:ind w:left="360"/>
      </w:pPr>
      <w:r>
        <w:rPr>
          <w:rFonts w:ascii="Courier New" w:hAnsi="Courier New"/>
          <w:color w:val="1E40AF"/>
          <w:sz w:val="18"/>
        </w:rPr>
        <w:t xml:space="preserve">    └── Multifamily Model Template.xlsx</w:t>
      </w:r>
    </w:p>
    <w:p>
      <w:pPr>
        <w:spacing w:after="160" w:before="0"/>
      </w:pPr>
    </w:p>
    <w:p>
      <w:pPr>
        <w:pBdr>
          <w:bottom w:val="single" w:sz="6" w:space="4" w:color="1E40AF"/>
        </w:pBdr>
        <w:spacing w:before="360" w:after="120"/>
      </w:pPr>
      <w:r>
        <w:rPr>
          <w:rFonts w:ascii="Arial" w:hAnsi="Arial"/>
          <w:b/>
          <w:color w:val="0F172A"/>
          <w:sz w:val="26"/>
        </w:rPr>
        <w:t>PIPELINE TRIGGER</w:t>
      </w:r>
    </w:p>
    <w:p>
      <w:pPr>
        <w:spacing w:after="80" w:before="0"/>
      </w:pPr>
      <w:r>
        <w:rPr>
          <w:rFonts w:ascii="Arial" w:hAnsi="Arial"/>
          <w:color w:val="475569"/>
          <w:sz w:val="20"/>
        </w:rPr>
        <w:t>The pipeline is controlled manually via the Cowork sidebar task 'ping-pipeline-run'. To run: open Cowork → Scheduled → ping-pipeline-run → Run. The pipeline checks for NEW searches, processes them, and reports results.</w:t>
      </w:r>
    </w:p>
    <w:p>
      <w:pPr>
        <w:spacing w:after="80" w:before="0"/>
      </w:pPr>
      <w:r>
        <w:rPr>
          <w:rFonts w:ascii="Arial" w:hAnsi="Arial"/>
          <w:color w:val="475569"/>
          <w:sz w:val="20"/>
        </w:rPr>
        <w:t>To convert to a timed schedule (e.g., every 30 minutes), update the cron expression in the scheduled task settings. Recommended trigger interval once live: every 15–30 minutes during business hours.</w:t>
      </w:r>
    </w:p>
    <w:p>
      <w:pPr>
        <w:pBdr>
          <w:bottom w:val="single" w:sz="6" w:space="4" w:color="1E40AF"/>
        </w:pBdr>
        <w:spacing w:before="360" w:after="120"/>
      </w:pPr>
      <w:r>
        <w:rPr>
          <w:rFonts w:ascii="Arial" w:hAnsi="Arial"/>
          <w:b/>
          <w:color w:val="0F172A"/>
          <w:sz w:val="26"/>
        </w:rPr>
        <w:t>RUN STATUS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Borders>
              <w:top w:val="single" w:sz="4" w:space="0" w:color="1E40AF"/>
              <w:start w:val="single" w:sz="4" w:space="0" w:color="1E40AF"/>
              <w:bottom w:val="single" w:sz="4" w:space="0" w:color="1E40AF"/>
              <w:end w:val="single" w:sz="4" w:space="0" w:color="1E40AF"/>
            </w:tcBorders>
            <w:shd w:val="clear" w:color="auto" w:fill="0F172A"/>
          </w:tcPr>
          <w:p>
            <w:pPr>
              <w:spacing w:before="100" w:after="100"/>
              <w:ind w:left="101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056"/>
            <w:tcBorders>
              <w:top w:val="single" w:sz="4" w:space="0" w:color="1E40AF"/>
              <w:start w:val="single" w:sz="4" w:space="0" w:color="1E40AF"/>
              <w:bottom w:val="single" w:sz="4" w:space="0" w:color="1E40AF"/>
              <w:end w:val="single" w:sz="4" w:space="0" w:color="1E40AF"/>
            </w:tcBorders>
            <w:shd w:val="clear" w:color="auto" w:fill="0F172A"/>
          </w:tcPr>
          <w:p>
            <w:pPr>
              <w:spacing w:before="100" w:after="100"/>
              <w:ind w:left="101"/>
            </w:pPr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04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101"/>
            </w:pPr>
            <w:r>
              <w:rPr>
                <w:rFonts w:ascii="Arial" w:hAnsi="Arial"/>
                <w:b/>
                <w:color w:val="1E40AF"/>
                <w:sz w:val="18"/>
              </w:rPr>
              <w:t>NEW</w:t>
            </w:r>
          </w:p>
        </w:tc>
        <w:tc>
          <w:tcPr>
            <w:tcW w:type="dxa" w:w="7056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101"/>
            </w:pPr>
            <w:r>
              <w:rPr>
                <w:rFonts w:ascii="Arial" w:hAnsi="Arial"/>
                <w:b w:val="0"/>
                <w:color w:val="475569"/>
                <w:sz w:val="18"/>
              </w:rPr>
              <w:t>Search submitted by extension. Queued for processing.</w:t>
            </w:r>
          </w:p>
        </w:tc>
      </w:tr>
      <w:tr>
        <w:tc>
          <w:tcPr>
            <w:tcW w:type="dxa" w:w="2304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101"/>
            </w:pPr>
            <w:r>
              <w:rPr>
                <w:rFonts w:ascii="Arial" w:hAnsi="Arial"/>
                <w:b/>
                <w:color w:val="1E40AF"/>
                <w:sz w:val="18"/>
              </w:rPr>
              <w:t>PROCESSING</w:t>
            </w:r>
          </w:p>
        </w:tc>
        <w:tc>
          <w:tcPr>
            <w:tcW w:type="dxa" w:w="7056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101"/>
            </w:pPr>
            <w:r>
              <w:rPr>
                <w:rFonts w:ascii="Arial" w:hAnsi="Arial"/>
                <w:b w:val="0"/>
                <w:color w:val="475569"/>
                <w:sz w:val="18"/>
              </w:rPr>
              <w:t>Pipeline has picked up this search and is actively running.</w:t>
            </w:r>
          </w:p>
        </w:tc>
      </w:tr>
      <w:tr>
        <w:tc>
          <w:tcPr>
            <w:tcW w:type="dxa" w:w="2304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101"/>
            </w:pPr>
            <w:r>
              <w:rPr>
                <w:rFonts w:ascii="Arial" w:hAnsi="Arial"/>
                <w:b/>
                <w:color w:val="1E40AF"/>
                <w:sz w:val="18"/>
              </w:rPr>
              <w:t>DONE</w:t>
            </w:r>
          </w:p>
        </w:tc>
        <w:tc>
          <w:tcPr>
            <w:tcW w:type="dxa" w:w="7056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101"/>
            </w:pPr>
            <w:r>
              <w:rPr>
                <w:rFonts w:ascii="Arial" w:hAnsi="Arial"/>
                <w:b w:val="0"/>
                <w:color w:val="475569"/>
                <w:sz w:val="18"/>
              </w:rPr>
              <w:t>Pipeline completed successfully. Excel model emailed to requester.</w:t>
            </w:r>
          </w:p>
        </w:tc>
      </w:tr>
      <w:tr>
        <w:tc>
          <w:tcPr>
            <w:tcW w:type="dxa" w:w="2304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101"/>
            </w:pPr>
            <w:r>
              <w:rPr>
                <w:rFonts w:ascii="Arial" w:hAnsi="Arial"/>
                <w:b/>
                <w:color w:val="1E40AF"/>
                <w:sz w:val="18"/>
              </w:rPr>
              <w:t>ERROR</w:t>
            </w:r>
          </w:p>
        </w:tc>
        <w:tc>
          <w:tcPr>
            <w:tcW w:type="dxa" w:w="7056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val="clear" w:color="auto" w:fill="F8FAFC"/>
          </w:tcPr>
          <w:p>
            <w:pPr>
              <w:spacing w:before="100" w:after="100"/>
              <w:ind w:left="101"/>
            </w:pPr>
            <w:r>
              <w:rPr>
                <w:rFonts w:ascii="Arial" w:hAnsi="Arial"/>
                <w:b w:val="0"/>
                <w:color w:val="475569"/>
                <w:sz w:val="18"/>
              </w:rPr>
              <w:t>Pipeline encountered an error. Check pipeline.py console output for details.</w:t>
            </w:r>
          </w:p>
        </w:tc>
      </w:tr>
    </w:tbl>
    <w:p>
      <w:pPr>
        <w:spacing w:after="160" w:before="0"/>
      </w:pPr>
    </w:p>
    <w:p>
      <w:pPr>
        <w:pBdr>
          <w:top w:val="single" w:sz="4" w:space="4" w:color="CBD5E1"/>
        </w:pBdr>
        <w:spacing w:before="120" w:after="0"/>
      </w:pPr>
      <w:r>
        <w:rPr>
          <w:rFonts w:ascii="Arial" w:hAnsi="Arial"/>
          <w:color w:val="94A3B8"/>
          <w:sz w:val="16"/>
        </w:rPr>
        <w:t>Ping Underwriting Platform  |  Architecture Document  |  March 2026  |  For internal use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