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80" w:before="0"/>
        <w:jc w:val="center"/>
      </w:pPr>
      <w:r>
        <w:rPr>
          <w:rFonts w:ascii="Arial" w:cs="Arial" w:eastAsia="Arial" w:hAnsi="Arial"/>
          <w:b/>
          <w:bCs/>
          <w:color w:val="1B2A4A"/>
          <w:sz w:val="20"/>
          <w:szCs w:val="20"/>
        </w:rPr>
        <w:t xml:space="preserve">VISTA SECURITY OPS</w:t>
      </w:r>
    </w:p>
    <w:p>
      <w:pPr>
        <w:spacing w:after="40" w:before="0"/>
        <w:jc w:val="center"/>
      </w:pPr>
      <w:r>
        <w:rPr>
          <w:rFonts w:ascii="Arial" w:cs="Arial" w:eastAsia="Arial" w:hAnsi="Arial"/>
          <w:b w:val="false"/>
          <w:bCs w:val="false"/>
          <w:color w:val="2563EB"/>
          <w:sz w:val="20"/>
          <w:szCs w:val="20"/>
        </w:rPr>
        <w:t xml:space="preserve">Churn Prediction Model</w:t>
      </w:r>
    </w:p>
    <w:p>
      <w:pPr>
        <w:spacing w:after="280" w:before="0"/>
        <w:jc w:val="center"/>
      </w:pPr>
      <w:r>
        <w:rPr>
          <w:rFonts w:ascii="Arial" w:cs="Arial" w:eastAsia="Arial" w:hAnsi="Arial"/>
          <w:b/>
          <w:bCs/>
          <w:color w:val="0D9488"/>
          <w:sz w:val="20"/>
          <w:szCs w:val="20"/>
        </w:rPr>
        <w:t xml:space="preserve">+ Contract Pricing Intelligence</w:t>
      </w:r>
    </w:p>
    <w:p>
      <w:pPr>
        <w:spacing w:after="60" w:before="0"/>
        <w:jc w:val="center"/>
      </w:pPr>
      <w:r>
        <w:rPr>
          <w:rFonts w:ascii="Arial" w:cs="Arial" w:eastAsia="Arial" w:hAnsi="Arial"/>
          <w:b w:val="false"/>
          <w:bCs w:val="false"/>
          <w:color w:val="475569"/>
          <w:sz w:val="20"/>
          <w:szCs w:val="20"/>
        </w:rPr>
        <w:t xml:space="preserve">Complete build guide: Python → FastAPI → Salesforce</w:t>
      </w:r>
    </w:p>
    <w:p>
      <w:pPr>
        <w:spacing w:after="400" w:before="0"/>
        <w:jc w:val="center"/>
      </w:pPr>
      <w:r>
        <w:rPr>
          <w:rFonts w:ascii="Arial" w:cs="Arial" w:eastAsia="Arial" w:hAnsi="Arial"/>
          <w:b w:val="false"/>
          <w:bCs w:val="false"/>
          <w:color w:val="475569"/>
          <w:sz w:val="20"/>
          <w:szCs w:val="20"/>
        </w:rPr>
        <w:t xml:space="preserve">Nick Moxam  |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1B2A4A" w:val="clear"/>
            <w:tcMar>
              <w:top w:type="dxa" w:w="160"/>
              <w:left w:type="dxa" w:w="120"/>
              <w:bottom w:type="dxa" w:w="160"/>
              <w:right w:type="dxa" w:w="120"/>
            </w:tcMar>
          </w:tcPr>
          <w:p>
            <w:pPr>
              <w:spacing w:after="40" w:before="0"/>
              <w:jc w:val="center"/>
            </w:pPr>
            <w:r>
              <w:rPr>
                <w:rFonts w:ascii="Arial" w:cs="Arial" w:eastAsia="Arial" w:hAnsi="Arial"/>
                <w:b/>
                <w:bCs/>
                <w:color w:val="FFFFFF"/>
                <w:sz w:val="26"/>
                <w:szCs w:val="26"/>
              </w:rPr>
              <w:t xml:space="preserve">LightGBM</w:t>
            </w:r>
          </w:p>
          <w:p>
            <w:pPr>
              <w:spacing w:after="0" w:before="0"/>
              <w:jc w:val="center"/>
            </w:pPr>
            <w:r>
              <w:rPr>
                <w:rFonts w:ascii="Arial" w:cs="Arial" w:eastAsia="Arial" w:hAnsi="Arial"/>
                <w:color w:val="BFD4F7"/>
                <w:sz w:val="18"/>
                <w:szCs w:val="18"/>
              </w:rPr>
              <w:t xml:space="preserve">0.981 AUC</w:t>
            </w:r>
          </w:p>
        </w:tc>
        <w:tc>
          <w:tcPr>
            <w:tcW w:type="dxa" w:w="1872"/>
            <w:tcBorders>
              <w:top w:val="none" w:color="FFFFFF" w:sz="0"/>
              <w:left w:val="none" w:color="FFFFFF" w:sz="0"/>
              <w:bottom w:val="none" w:color="FFFFFF" w:sz="0"/>
              <w:right w:val="none" w:color="FFFFFF" w:sz="0"/>
            </w:tcBorders>
            <w:shd w:fill="2563EB" w:val="clear"/>
            <w:tcMar>
              <w:top w:type="dxa" w:w="160"/>
              <w:left w:type="dxa" w:w="120"/>
              <w:bottom w:type="dxa" w:w="160"/>
              <w:right w:type="dxa" w:w="120"/>
            </w:tcMar>
          </w:tcPr>
          <w:p>
            <w:pPr>
              <w:spacing w:after="40" w:before="0"/>
              <w:jc w:val="center"/>
            </w:pPr>
            <w:r>
              <w:rPr>
                <w:rFonts w:ascii="Arial" w:cs="Arial" w:eastAsia="Arial" w:hAnsi="Arial"/>
                <w:b/>
                <w:bCs/>
                <w:color w:val="FFFFFF"/>
                <w:sz w:val="26"/>
                <w:szCs w:val="26"/>
              </w:rPr>
              <w:t xml:space="preserve">FastAPI</w:t>
            </w:r>
          </w:p>
          <w:p>
            <w:pPr>
              <w:spacing w:after="0" w:before="0"/>
              <w:jc w:val="center"/>
            </w:pPr>
            <w:r>
              <w:rPr>
                <w:rFonts w:ascii="Arial" w:cs="Arial" w:eastAsia="Arial" w:hAnsi="Arial"/>
                <w:color w:val="BFD4F7"/>
                <w:sz w:val="18"/>
                <w:szCs w:val="18"/>
              </w:rPr>
              <w:t xml:space="preserve">REST API</w:t>
            </w:r>
          </w:p>
        </w:tc>
        <w:tc>
          <w:tcPr>
            <w:tcW w:type="dxa" w:w="1872"/>
            <w:tcBorders>
              <w:top w:val="none" w:color="FFFFFF" w:sz="0"/>
              <w:left w:val="none" w:color="FFFFFF" w:sz="0"/>
              <w:bottom w:val="none" w:color="FFFFFF" w:sz="0"/>
              <w:right w:val="none" w:color="FFFFFF" w:sz="0"/>
            </w:tcBorders>
            <w:shd w:fill="0D9488" w:val="clear"/>
            <w:tcMar>
              <w:top w:type="dxa" w:w="160"/>
              <w:left w:type="dxa" w:w="120"/>
              <w:bottom w:type="dxa" w:w="160"/>
              <w:right w:type="dxa" w:w="120"/>
            </w:tcMar>
          </w:tcPr>
          <w:p>
            <w:pPr>
              <w:spacing w:after="40" w:before="0"/>
              <w:jc w:val="center"/>
            </w:pPr>
            <w:r>
              <w:rPr>
                <w:rFonts w:ascii="Arial" w:cs="Arial" w:eastAsia="Arial" w:hAnsi="Arial"/>
                <w:b/>
                <w:bCs/>
                <w:color w:val="FFFFFF"/>
                <w:sz w:val="26"/>
                <w:szCs w:val="26"/>
              </w:rPr>
              <w:t xml:space="preserve">SF Push</w:t>
            </w:r>
          </w:p>
          <w:p>
            <w:pPr>
              <w:spacing w:after="0" w:before="0"/>
              <w:jc w:val="center"/>
            </w:pPr>
            <w:r>
              <w:rPr>
                <w:rFonts w:ascii="Arial" w:cs="Arial" w:eastAsia="Arial" w:hAnsi="Arial"/>
                <w:color w:val="BFD4F7"/>
                <w:sz w:val="18"/>
                <w:szCs w:val="18"/>
              </w:rPr>
              <w:t xml:space="preserve">Weekly cron</w:t>
            </w:r>
          </w:p>
        </w:tc>
        <w:tc>
          <w:tcPr>
            <w:tcW w:type="dxa" w:w="1872"/>
            <w:tcBorders>
              <w:top w:val="none" w:color="FFFFFF" w:sz="0"/>
              <w:left w:val="none" w:color="FFFFFF" w:sz="0"/>
              <w:bottom w:val="none" w:color="FFFFFF" w:sz="0"/>
              <w:right w:val="none" w:color="FFFFFF" w:sz="0"/>
            </w:tcBorders>
            <w:shd w:fill="7C3AED" w:val="clear"/>
            <w:tcMar>
              <w:top w:type="dxa" w:w="160"/>
              <w:left w:type="dxa" w:w="120"/>
              <w:bottom w:type="dxa" w:w="160"/>
              <w:right w:type="dxa" w:w="120"/>
            </w:tcMar>
          </w:tcPr>
          <w:p>
            <w:pPr>
              <w:spacing w:after="40" w:before="0"/>
              <w:jc w:val="center"/>
            </w:pPr>
            <w:r>
              <w:rPr>
                <w:rFonts w:ascii="Arial" w:cs="Arial" w:eastAsia="Arial" w:hAnsi="Arial"/>
                <w:b/>
                <w:bCs/>
                <w:color w:val="FFFFFF"/>
                <w:sz w:val="26"/>
                <w:szCs w:val="26"/>
              </w:rPr>
              <w:t xml:space="preserve">Apex</w:t>
            </w:r>
          </w:p>
          <w:p>
            <w:pPr>
              <w:spacing w:after="0" w:before="0"/>
              <w:jc w:val="center"/>
            </w:pPr>
            <w:r>
              <w:rPr>
                <w:rFonts w:ascii="Arial" w:cs="Arial" w:eastAsia="Arial" w:hAnsi="Arial"/>
                <w:color w:val="BFD4F7"/>
                <w:sz w:val="18"/>
                <w:szCs w:val="18"/>
              </w:rPr>
              <w:t xml:space="preserve">Agentforce</w:t>
            </w:r>
          </w:p>
        </w:tc>
        <w:tc>
          <w:tcPr>
            <w:tcW w:type="dxa" w:w="1872"/>
            <w:tcBorders>
              <w:top w:val="none" w:color="FFFFFF" w:sz="0"/>
              <w:left w:val="none" w:color="FFFFFF" w:sz="0"/>
              <w:bottom w:val="none" w:color="FFFFFF" w:sz="0"/>
              <w:right w:val="none" w:color="FFFFFF" w:sz="0"/>
            </w:tcBorders>
            <w:shd w:fill="D97706" w:val="clear"/>
            <w:tcMar>
              <w:top w:type="dxa" w:w="160"/>
              <w:left w:type="dxa" w:w="120"/>
              <w:bottom w:type="dxa" w:w="160"/>
              <w:right w:type="dxa" w:w="120"/>
            </w:tcMar>
          </w:tcPr>
          <w:p>
            <w:pPr>
              <w:spacing w:after="40" w:before="0"/>
              <w:jc w:val="center"/>
            </w:pPr>
            <w:r>
              <w:rPr>
                <w:rFonts w:ascii="Arial" w:cs="Arial" w:eastAsia="Arial" w:hAnsi="Arial"/>
                <w:b/>
                <w:bCs/>
                <w:color w:val="FFFFFF"/>
                <w:sz w:val="26"/>
                <w:szCs w:val="26"/>
              </w:rPr>
              <w:t xml:space="preserve">Pricing</w:t>
            </w:r>
          </w:p>
          <w:p>
            <w:pPr>
              <w:spacing w:after="0" w:before="0"/>
              <w:jc w:val="center"/>
            </w:pPr>
            <w:r>
              <w:rPr>
                <w:rFonts w:ascii="Arial" w:cs="Arial" w:eastAsia="Arial" w:hAnsi="Arial"/>
                <w:color w:val="BFD4F7"/>
                <w:sz w:val="18"/>
                <w:szCs w:val="18"/>
              </w:rPr>
              <w:t xml:space="preserve">Renewal flow</w:t>
            </w:r>
          </w:p>
        </w:tc>
      </w:tr>
    </w:tbl>
    <w:p>
      <w:r>
        <w:br w:type="page"/>
      </w:r>
    </w:p>
    <w:p>
      <w:pPr>
        <w:pStyle w:val="Heading1"/>
        <w:pBdr>
          <w:bottom w:val="single" w:color="2563EB" w:sz="8" w:space="4"/>
        </w:pBdr>
        <w:spacing w:after="140" w:before="360"/>
      </w:pPr>
      <w:r>
        <w:rPr>
          <w:rFonts w:ascii="Arial" w:cs="Arial" w:eastAsia="Arial" w:hAnsi="Arial"/>
          <w:b/>
          <w:bCs/>
          <w:color w:val="1B2A4A"/>
          <w:sz w:val="20"/>
          <w:szCs w:val="20"/>
        </w:rPr>
        <w:t xml:space="preserve">1. How It All Fits Together</w:t>
      </w:r>
    </w:p>
    <w:p>
      <w:pPr>
        <w:spacing w:after="60" w:before="60"/>
        <w:jc w:val="left"/>
      </w:pPr>
      <w:r>
        <w:rPr>
          <w:rFonts w:ascii="Arial" w:cs="Arial" w:eastAsia="Arial" w:hAnsi="Arial"/>
          <w:b w:val="false"/>
          <w:bCs w:val="false"/>
          <w:color w:val="1E293B"/>
          <w:sz w:val="20"/>
          <w:szCs w:val="20"/>
        </w:rPr>
        <w:t xml:space="preserve">This system has two independent but connected parts: the Churn Model (predicts which guards will quit) and the Pricing Engine (calculates what you should charge at contract renewal). Both are built natively in Salesforce except for the Python ML model, which lives on an external server and is called via HTTP.</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160"/>
        <w:gridCol w:w="2200"/>
      </w:tblGrid>
      <w:tr>
        <w:tc>
          <w:tcPr>
            <w:tcW w:type="dxa" w:w="22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spacing w:after="60" w:before="60"/>
            </w:pPr>
            <w:r>
              <w:rPr>
                <w:rFonts w:ascii="Arial" w:cs="Arial" w:eastAsia="Arial" w:hAnsi="Arial"/>
                <w:b/>
                <w:bCs/>
                <w:color w:val="FFFFFF"/>
                <w:sz w:val="20"/>
                <w:szCs w:val="20"/>
              </w:rPr>
              <w:t xml:space="preserve">Component</w:t>
            </w:r>
          </w:p>
        </w:tc>
        <w:tc>
          <w:tcPr>
            <w:tcW w:type="dxa" w:w="28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spacing w:after="60" w:before="60"/>
            </w:pPr>
            <w:r>
              <w:rPr>
                <w:rFonts w:ascii="Arial" w:cs="Arial" w:eastAsia="Arial" w:hAnsi="Arial"/>
                <w:b/>
                <w:bCs/>
                <w:color w:val="FFFFFF"/>
                <w:sz w:val="20"/>
                <w:szCs w:val="20"/>
              </w:rPr>
              <w:t xml:space="preserve">What it does</w:t>
            </w:r>
          </w:p>
        </w:tc>
        <w:tc>
          <w:tcPr>
            <w:tcW w:type="dxa" w:w="216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spacing w:after="60" w:before="60"/>
            </w:pPr>
            <w:r>
              <w:rPr>
                <w:rFonts w:ascii="Arial" w:cs="Arial" w:eastAsia="Arial" w:hAnsi="Arial"/>
                <w:b/>
                <w:bCs/>
                <w:color w:val="FFFFFF"/>
                <w:sz w:val="20"/>
                <w:szCs w:val="20"/>
              </w:rPr>
              <w:t xml:space="preserve">Where it lives</w:t>
            </w:r>
          </w:p>
        </w:tc>
        <w:tc>
          <w:tcPr>
            <w:tcW w:type="dxa" w:w="22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spacing w:after="60" w:before="60"/>
            </w:pPr>
            <w:r>
              <w:rPr>
                <w:rFonts w:ascii="Arial" w:cs="Arial" w:eastAsia="Arial" w:hAnsi="Arial"/>
                <w:b/>
                <w:bCs/>
                <w:color w:val="FFFFFF"/>
                <w:sz w:val="20"/>
                <w:szCs w:val="20"/>
              </w:rPr>
              <w:t xml:space="preserve">Who calls it</w:t>
            </w:r>
          </w:p>
        </w:tc>
      </w:tr>
      <w:tr>
        <w:tc>
          <w:tcPr>
            <w:tcW w:type="dxa" w:w="2200"/>
            <w:gridSpan w:val="1"/>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LightGBM model (.pkl)</w:t>
            </w:r>
          </w:p>
        </w:tc>
        <w:tc>
          <w:tcPr>
            <w:tcW w:type="dxa" w:w="2800"/>
            <w:gridSpan w:val="1"/>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Predicts guard churn probability 0–1</w:t>
            </w:r>
          </w:p>
        </w:tc>
        <w:tc>
          <w:tcPr>
            <w:tcW w:type="dxa" w:w="2160"/>
            <w:gridSpan w:val="1"/>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Python server (Railway/Heroku/EC2)</w:t>
            </w:r>
          </w:p>
        </w:tc>
        <w:tc>
          <w:tcPr>
            <w:tcW w:type="dxa" w:w="2200"/>
            <w:gridSpan w:val="1"/>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FastAPI endpoint</w:t>
            </w:r>
          </w:p>
        </w:tc>
      </w:tr>
      <w:tr>
        <w:tc>
          <w:tcPr>
            <w:tcW w:type="dxa" w:w="22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FastAPI server (churn_api.py)</w:t>
            </w:r>
          </w:p>
        </w:tc>
        <w:tc>
          <w:tcPr>
            <w:tcW w:type="dxa" w:w="28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Exposes model as a REST API</w:t>
            </w:r>
          </w:p>
        </w:tc>
        <w:tc>
          <w:tcPr>
            <w:tcW w:type="dxa" w:w="216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Same Python server</w:t>
            </w:r>
          </w:p>
        </w:tc>
        <w:tc>
          <w:tcPr>
            <w:tcW w:type="dxa" w:w="22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Apex + weekly cron</w:t>
            </w:r>
          </w:p>
        </w:tc>
      </w:tr>
      <w:tr>
        <w:tc>
          <w:tcPr>
            <w:tcW w:type="dxa" w:w="2200"/>
            <w:gridSpan w:val="1"/>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Salesforce push (salesforce_push.py)</w:t>
            </w:r>
          </w:p>
        </w:tc>
        <w:tc>
          <w:tcPr>
            <w:tcW w:type="dxa" w:w="2800"/>
            <w:gridSpan w:val="1"/>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Scores all guards weekly, writes back</w:t>
            </w:r>
          </w:p>
        </w:tc>
        <w:tc>
          <w:tcPr>
            <w:tcW w:type="dxa" w:w="2160"/>
            <w:gridSpan w:val="1"/>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Cron job / Heroku Scheduler</w:t>
            </w:r>
          </w:p>
        </w:tc>
        <w:tc>
          <w:tcPr>
            <w:tcW w:type="dxa" w:w="2200"/>
            <w:gridSpan w:val="1"/>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Scheduled — runs automatically</w:t>
            </w:r>
          </w:p>
        </w:tc>
      </w:tr>
      <w:tr>
        <w:tc>
          <w:tcPr>
            <w:tcW w:type="dxa" w:w="22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ChurnModelCallout.cls</w:t>
            </w:r>
          </w:p>
        </w:tc>
        <w:tc>
          <w:tcPr>
            <w:tcW w:type="dxa" w:w="28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Apex action for on-demand single guard scoring</w:t>
            </w:r>
          </w:p>
        </w:tc>
        <w:tc>
          <w:tcPr>
            <w:tcW w:type="dxa" w:w="216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Salesforce org</w:t>
            </w:r>
          </w:p>
        </w:tc>
        <w:tc>
          <w:tcPr>
            <w:tcW w:type="dxa" w:w="22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Agentforce agent</w:t>
            </w:r>
          </w:p>
        </w:tc>
      </w:tr>
      <w:tr>
        <w:tc>
          <w:tcPr>
            <w:tcW w:type="dxa" w:w="2200"/>
            <w:gridSpan w:val="1"/>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ContractPricingEngine.cls</w:t>
            </w:r>
          </w:p>
        </w:tc>
        <w:tc>
          <w:tcPr>
            <w:tcW w:type="dxa" w:w="2800"/>
            <w:gridSpan w:val="1"/>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Calculates break-even, target rate, renewal rec</w:t>
            </w:r>
          </w:p>
        </w:tc>
        <w:tc>
          <w:tcPr>
            <w:tcW w:type="dxa" w:w="2160"/>
            <w:gridSpan w:val="1"/>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Salesforce org</w:t>
            </w:r>
          </w:p>
        </w:tc>
        <w:tc>
          <w:tcPr>
            <w:tcW w:type="dxa" w:w="2200"/>
            <w:gridSpan w:val="1"/>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Agentforce + Renewal Flow</w:t>
            </w:r>
          </w:p>
        </w:tc>
      </w:tr>
      <w:tr>
        <w:tc>
          <w:tcPr>
            <w:tcW w:type="dxa" w:w="22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RenewalAlertFlow (Flow)</w:t>
            </w:r>
          </w:p>
        </w:tc>
        <w:tc>
          <w:tcPr>
            <w:tcW w:type="dxa" w:w="28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Triggers 90/30-day renewal alerts with pricing data</w:t>
            </w:r>
          </w:p>
        </w:tc>
        <w:tc>
          <w:tcPr>
            <w:tcW w:type="dxa" w:w="216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Salesforce org</w:t>
            </w:r>
          </w:p>
        </w:tc>
        <w:tc>
          <w:tcPr>
            <w:tcW w:type="dxa" w:w="22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Scheduled Flow (daily)</w:t>
            </w:r>
          </w:p>
        </w:tc>
      </w:tr>
    </w:tbl>
    <w:p>
      <w:pPr>
        <w:spacing w:after="0" w:before="100"/>
      </w:pPr>
    </w:p>
    <w:p>
      <w:pPr>
        <w:pStyle w:val="Heading2"/>
        <w:spacing w:after="100" w:before="260"/>
      </w:pPr>
      <w:r>
        <w:rPr>
          <w:rFonts w:ascii="Arial" w:cs="Arial" w:eastAsia="Arial" w:hAnsi="Arial"/>
          <w:b/>
          <w:bCs/>
          <w:color w:val="2563EB"/>
          <w:sz w:val="20"/>
          <w:szCs w:val="20"/>
        </w:rPr>
        <w:t xml:space="preserve">Data flow — end to end</w:t>
      </w:r>
    </w:p>
    <w:p>
      <w:pPr>
        <w:pStyle w:val="ListParagraph"/>
        <w:numPr>
          <w:ilvl w:val="0"/>
          <w:numId w:val="2"/>
        </w:numPr>
        <w:spacing w:after="40" w:before="40"/>
      </w:pPr>
      <w:r>
        <w:rPr>
          <w:rFonts w:ascii="Arial" w:cs="Arial" w:eastAsia="Arial" w:hAnsi="Arial"/>
          <w:b w:val="false"/>
          <w:bCs w:val="false"/>
          <w:color w:val="1E293B"/>
          <w:sz w:val="20"/>
          <w:szCs w:val="20"/>
        </w:rPr>
        <w:t xml:space="preserve">Weekly (Monday 6 AM): salesforce_push.py authenticates with Salesforce OAuth2, queries all active guard records, sends features to FastAPI, receives churn scores, batch-updates Turnover_Risk__c on every Contact, creates HR Tasks for High-risk guards.</w:t>
      </w:r>
    </w:p>
    <w:p>
      <w:pPr>
        <w:pStyle w:val="ListParagraph"/>
        <w:numPr>
          <w:ilvl w:val="0"/>
          <w:numId w:val="2"/>
        </w:numPr>
        <w:spacing w:after="40" w:before="40"/>
      </w:pPr>
      <w:r>
        <w:rPr>
          <w:rFonts w:ascii="Arial" w:cs="Arial" w:eastAsia="Arial" w:hAnsi="Arial"/>
          <w:b w:val="false"/>
          <w:bCs w:val="false"/>
          <w:color w:val="1E293B"/>
          <w:sz w:val="20"/>
          <w:szCs w:val="20"/>
        </w:rPr>
        <w:t xml:space="preserve">On demand via Agentforce: dispatcher or manager asks 'What is this guard’s churn risk?' — agent triggers ChurnModelCallout.cls — single guard scored in real time — result returned to agent with explanation and action.</w:t>
      </w:r>
    </w:p>
    <w:p>
      <w:pPr>
        <w:pStyle w:val="ListParagraph"/>
        <w:numPr>
          <w:ilvl w:val="0"/>
          <w:numId w:val="2"/>
        </w:numPr>
        <w:spacing w:after="40" w:before="40"/>
      </w:pPr>
      <w:r>
        <w:rPr>
          <w:rFonts w:ascii="Arial" w:cs="Arial" w:eastAsia="Arial" w:hAnsi="Arial"/>
          <w:b w:val="false"/>
          <w:bCs w:val="false"/>
          <w:color w:val="1E293B"/>
          <w:sz w:val="20"/>
          <w:szCs w:val="20"/>
        </w:rPr>
        <w:t xml:space="preserve">Daily (7 AM): RenewalAlertFlow runs, finds contracts expiring in 90 or 30 days, calls ContractPricingEngine.cls for each, posts pricing recommendation as Chatter note on the Account, creates Task for account manager.</w:t>
      </w:r>
    </w:p>
    <w:p>
      <w:r>
        <w:br w:type="page"/>
      </w:r>
    </w:p>
    <w:p>
      <w:pPr>
        <w:pStyle w:val="Heading1"/>
        <w:pBdr>
          <w:bottom w:val="single" w:color="2563EB" w:sz="8" w:space="4"/>
        </w:pBdr>
        <w:spacing w:after="140" w:before="360"/>
      </w:pPr>
      <w:r>
        <w:rPr>
          <w:rFonts w:ascii="Arial" w:cs="Arial" w:eastAsia="Arial" w:hAnsi="Arial"/>
          <w:b/>
          <w:bCs/>
          <w:color w:val="1B2A4A"/>
          <w:sz w:val="20"/>
          <w:szCs w:val="20"/>
        </w:rPr>
        <w:t xml:space="preserve">2. The LightGBM Churn Model — How It Was Built</w:t>
      </w:r>
    </w:p>
    <w:p>
      <w:pPr>
        <w:spacing w:after="60" w:before="60"/>
        <w:jc w:val="left"/>
      </w:pPr>
      <w:r>
        <w:rPr>
          <w:rFonts w:ascii="Arial" w:cs="Arial" w:eastAsia="Arial" w:hAnsi="Arial"/>
          <w:b w:val="false"/>
          <w:bCs w:val="false"/>
          <w:color w:val="1E293B"/>
          <w:sz w:val="20"/>
          <w:szCs w:val="20"/>
        </w:rPr>
        <w:t xml:space="preserve">The model was trained on your 126 guard records with 32 historical terminations (25.4% churn rate). It achieved a 5-fold cross-validated AUC of 0.981, meaning it correctly separates future churners from stayers 98% of the time on held-out data.</w:t>
      </w:r>
    </w:p>
    <w:p>
      <w:pPr>
        <w:spacing w:after="0" w:before="80"/>
      </w:pPr>
    </w:p>
    <w:p>
      <w:pPr>
        <w:pStyle w:val="Heading2"/>
        <w:spacing w:after="100" w:before="260"/>
      </w:pPr>
      <w:r>
        <w:rPr>
          <w:rFonts w:ascii="Arial" w:cs="Arial" w:eastAsia="Arial" w:hAnsi="Arial"/>
          <w:b/>
          <w:bCs/>
          <w:color w:val="2563EB"/>
          <w:sz w:val="20"/>
          <w:szCs w:val="20"/>
        </w:rPr>
        <w:t xml:space="preserve">2.1  What AUC means</w:t>
      </w:r>
    </w:p>
    <w:p>
      <w:pPr>
        <w:spacing w:after="60" w:before="60"/>
        <w:jc w:val="left"/>
      </w:pPr>
      <w:r>
        <w:rPr>
          <w:rFonts w:ascii="Arial" w:cs="Arial" w:eastAsia="Arial" w:hAnsi="Arial"/>
          <w:b w:val="false"/>
          <w:bCs w:val="false"/>
          <w:color w:val="1E293B"/>
          <w:sz w:val="20"/>
          <w:szCs w:val="20"/>
        </w:rPr>
        <w:t xml:space="preserve">AUC (Area Under the ROC Curve) measures how well the model ranks churners above non-churners. 0.5 = random guessing. 1.0 = perfect. 0.981 means: if you take one guard who churned and one who didn’t, the model scores the churner higher 98.1% of the time.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2563EB" w:val="clear"/>
            <w:tcMar>
              <w:top w:type="dxa" w:w="110"/>
              <w:left w:type="dxa" w:w="110"/>
              <w:bottom w:type="dxa" w:w="110"/>
              <w:right w:type="dxa" w:w="100"/>
            </w:tcMar>
          </w:tcPr>
          <w:p>
            <w:pPr>
              <w:spacing w:after="40" w:before="40"/>
              <w:jc w:val="center"/>
            </w:pPr>
            <w:r>
              <w:rPr>
                <w:rFonts w:ascii="Arial" w:cs="Arial" w:eastAsia="Arial" w:hAnsi="Arial"/>
                <w:b/>
                <w:bCs/>
                <w:color w:val="FFFFFF"/>
                <w:sz w:val="20"/>
                <w:szCs w:val="20"/>
              </w:rPr>
              <w:t xml:space="preserve">NOTE</w:t>
            </w:r>
          </w:p>
        </w:tc>
        <w:tc>
          <w:tcPr>
            <w:tcW w:type="dxa" w:w="9080"/>
            <w:tcBorders>
              <w:top w:val="none" w:color="FFFFFF" w:sz="0"/>
              <w:left w:val="none" w:color="FFFFFF" w:sz="0"/>
              <w:bottom w:val="none" w:color="FFFFFF" w:sz="0"/>
              <w:right w:val="none" w:color="FFFFFF" w:sz="0"/>
            </w:tcBorders>
            <w:shd w:fill="DBEAFE" w:val="clear"/>
            <w:tcMar>
              <w:top w:type="dxa" w:w="110"/>
              <w:left w:type="dxa" w:w="150"/>
              <w:bottom w:type="dxa" w:w="110"/>
              <w:right w:type="dxa" w:w="110"/>
            </w:tcMar>
          </w:tcPr>
          <w:p>
            <w:pPr>
              <w:spacing w:after="40" w:before="40"/>
            </w:pPr>
            <w:r>
              <w:rPr>
                <w:rFonts w:ascii="Arial" w:cs="Arial" w:eastAsia="Arial" w:hAnsi="Arial"/>
                <w:b w:val="false"/>
                <w:bCs w:val="false"/>
                <w:color w:val="1B2A4A"/>
                <w:sz w:val="20"/>
                <w:szCs w:val="20"/>
              </w:rPr>
              <w:t xml:space="preserve">0.981 AUC on 126 records is very high. This is partly because the training data is clean and the churn signal is strong (tenure and call-offs are near-perfect predictors in your data). When you have 12+ months of real Salesforce data, retrain the model — it may shift. The architecture and code stay the same.</w:t>
            </w:r>
          </w:p>
        </w:tc>
      </w:tr>
    </w:tbl>
    <w:p>
      <w:pPr>
        <w:spacing w:after="0" w:before="80"/>
      </w:pPr>
    </w:p>
    <w:p>
      <w:pPr>
        <w:pStyle w:val="Heading2"/>
        <w:spacing w:after="100" w:before="260"/>
      </w:pPr>
      <w:r>
        <w:rPr>
          <w:rFonts w:ascii="Arial" w:cs="Arial" w:eastAsia="Arial" w:hAnsi="Arial"/>
          <w:b/>
          <w:bCs/>
          <w:color w:val="2563EB"/>
          <w:sz w:val="20"/>
          <w:szCs w:val="20"/>
        </w:rPr>
        <w:t xml:space="preserve">2.2  Features the model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200"/>
        <w:gridCol w:w="3760"/>
      </w:tblGrid>
      <w:tr>
        <w:tc>
          <w:tcPr>
            <w:tcW w:type="dxa" w:w="2000"/>
            <w:tcBorders>
              <w:top w:val="single" w:color="0D9488" w:sz="1"/>
              <w:left w:val="single" w:color="0D9488" w:sz="1"/>
              <w:bottom w:val="single" w:color="0D9488" w:sz="1"/>
              <w:right w:val="single" w:color="0D9488" w:sz="1"/>
            </w:tcBorders>
            <w:shd w:fill="0D9488" w:val="clear"/>
            <w:tcMar>
              <w:top w:type="dxa" w:w="90"/>
              <w:left w:type="dxa" w:w="130"/>
              <w:bottom w:type="dxa" w:w="90"/>
              <w:right w:type="dxa" w:w="130"/>
            </w:tcMar>
          </w:tcPr>
          <w:p>
            <w:pPr>
              <w:spacing w:after="60" w:before="60"/>
            </w:pPr>
            <w:r>
              <w:rPr>
                <w:rFonts w:ascii="Arial" w:cs="Arial" w:eastAsia="Arial" w:hAnsi="Arial"/>
                <w:b/>
                <w:bCs/>
                <w:color w:val="FFFFFF"/>
                <w:sz w:val="20"/>
                <w:szCs w:val="20"/>
              </w:rPr>
              <w:t xml:space="preserve">Feature</w:t>
            </w:r>
          </w:p>
        </w:tc>
        <w:tc>
          <w:tcPr>
            <w:tcW w:type="dxa" w:w="2400"/>
            <w:tcBorders>
              <w:top w:val="single" w:color="0D9488" w:sz="1"/>
              <w:left w:val="single" w:color="0D9488" w:sz="1"/>
              <w:bottom w:val="single" w:color="0D9488" w:sz="1"/>
              <w:right w:val="single" w:color="0D9488" w:sz="1"/>
            </w:tcBorders>
            <w:shd w:fill="0D9488" w:val="clear"/>
            <w:tcMar>
              <w:top w:type="dxa" w:w="90"/>
              <w:left w:type="dxa" w:w="130"/>
              <w:bottom w:type="dxa" w:w="90"/>
              <w:right w:type="dxa" w:w="130"/>
            </w:tcMar>
          </w:tcPr>
          <w:p>
            <w:pPr>
              <w:spacing w:after="60" w:before="60"/>
            </w:pPr>
            <w:r>
              <w:rPr>
                <w:rFonts w:ascii="Arial" w:cs="Arial" w:eastAsia="Arial" w:hAnsi="Arial"/>
                <w:b/>
                <w:bCs/>
                <w:color w:val="FFFFFF"/>
                <w:sz w:val="20"/>
                <w:szCs w:val="20"/>
              </w:rPr>
              <w:t xml:space="preserve">Salesforce Field</w:t>
            </w:r>
          </w:p>
        </w:tc>
        <w:tc>
          <w:tcPr>
            <w:tcW w:type="dxa" w:w="1200"/>
            <w:tcBorders>
              <w:top w:val="single" w:color="0D9488" w:sz="1"/>
              <w:left w:val="single" w:color="0D9488" w:sz="1"/>
              <w:bottom w:val="single" w:color="0D9488" w:sz="1"/>
              <w:right w:val="single" w:color="0D9488" w:sz="1"/>
            </w:tcBorders>
            <w:shd w:fill="0D9488" w:val="clear"/>
            <w:tcMar>
              <w:top w:type="dxa" w:w="90"/>
              <w:left w:type="dxa" w:w="130"/>
              <w:bottom w:type="dxa" w:w="90"/>
              <w:right w:type="dxa" w:w="130"/>
            </w:tcMar>
          </w:tcPr>
          <w:p>
            <w:pPr>
              <w:spacing w:after="60" w:before="60"/>
            </w:pPr>
            <w:r>
              <w:rPr>
                <w:rFonts w:ascii="Arial" w:cs="Arial" w:eastAsia="Arial" w:hAnsi="Arial"/>
                <w:b/>
                <w:bCs/>
                <w:color w:val="FFFFFF"/>
                <w:sz w:val="20"/>
                <w:szCs w:val="20"/>
              </w:rPr>
              <w:t xml:space="preserve">Importance</w:t>
            </w:r>
          </w:p>
        </w:tc>
        <w:tc>
          <w:tcPr>
            <w:tcW w:type="dxa" w:w="3760"/>
            <w:tcBorders>
              <w:top w:val="single" w:color="0D9488" w:sz="1"/>
              <w:left w:val="single" w:color="0D9488" w:sz="1"/>
              <w:bottom w:val="single" w:color="0D9488" w:sz="1"/>
              <w:right w:val="single" w:color="0D9488" w:sz="1"/>
            </w:tcBorders>
            <w:shd w:fill="0D9488" w:val="clear"/>
            <w:tcMar>
              <w:top w:type="dxa" w:w="90"/>
              <w:left w:type="dxa" w:w="130"/>
              <w:bottom w:type="dxa" w:w="90"/>
              <w:right w:type="dxa" w:w="130"/>
            </w:tcMar>
          </w:tcPr>
          <w:p>
            <w:pPr>
              <w:spacing w:after="60" w:before="60"/>
            </w:pPr>
            <w:r>
              <w:rPr>
                <w:rFonts w:ascii="Arial" w:cs="Arial" w:eastAsia="Arial" w:hAnsi="Arial"/>
                <w:b/>
                <w:bCs/>
                <w:color w:val="FFFFFF"/>
                <w:sz w:val="20"/>
                <w:szCs w:val="20"/>
              </w:rPr>
              <w:t xml:space="preserve">Why it predicts churn</w:t>
            </w:r>
          </w:p>
        </w:tc>
      </w:tr>
      <w:tr>
        <w:tc>
          <w:tcPr>
            <w:tcW w:type="dxa" w:w="2000"/>
            <w:gridSpan w:val="1"/>
            <w:tcBorders>
              <w:top w:val="single" w:color="E2E8F0" w:sz="1"/>
              <w:left w:val="single" w:color="E2E8F0" w:sz="1"/>
              <w:bottom w:val="single" w:color="E2E8F0" w:sz="1"/>
              <w:right w:val="single" w:color="E2E8F0" w:sz="1"/>
            </w:tcBorders>
            <w:shd w:fill="CCFBF1" w:val="clear"/>
            <w:tcMar>
              <w:top w:type="dxa" w:w="80"/>
              <w:left w:type="dxa" w:w="130"/>
              <w:bottom w:type="dxa" w:w="80"/>
              <w:right w:type="dxa" w:w="130"/>
            </w:tcMar>
          </w:tcPr>
          <w:p>
            <w:pPr>
              <w:spacing w:after="70" w:before="70"/>
            </w:pPr>
            <w:r>
              <w:rPr>
                <w:rFonts w:ascii="Arial" w:cs="Arial" w:eastAsia="Arial" w:hAnsi="Arial"/>
                <w:b/>
                <w:bCs/>
                <w:color w:val="1E293B"/>
                <w:sz w:val="20"/>
                <w:szCs w:val="20"/>
              </w:rPr>
              <w:t xml:space="preserve">Total Call-offs</w:t>
            </w:r>
          </w:p>
        </w:tc>
        <w:tc>
          <w:tcPr>
            <w:tcW w:type="dxa" w:w="2400"/>
            <w:gridSpan w:val="1"/>
            <w:tcBorders>
              <w:top w:val="single" w:color="E2E8F0" w:sz="1"/>
              <w:left w:val="single" w:color="E2E8F0" w:sz="1"/>
              <w:bottom w:val="single" w:color="E2E8F0" w:sz="1"/>
              <w:right w:val="single" w:color="E2E8F0" w:sz="1"/>
            </w:tcBorders>
            <w:shd w:fill="CCFBF1"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Contact.Total_CallOffs__c</w:t>
            </w:r>
          </w:p>
        </w:tc>
        <w:tc>
          <w:tcPr>
            <w:tcW w:type="dxa" w:w="1200"/>
            <w:gridSpan w:val="1"/>
            <w:tcBorders>
              <w:top w:val="single" w:color="E2E8F0" w:sz="1"/>
              <w:left w:val="single" w:color="E2E8F0" w:sz="1"/>
              <w:bottom w:val="single" w:color="E2E8F0" w:sz="1"/>
              <w:right w:val="single" w:color="E2E8F0" w:sz="1"/>
            </w:tcBorders>
            <w:shd w:fill="CCFBF1"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#1 (712)</w:t>
            </w:r>
          </w:p>
        </w:tc>
        <w:tc>
          <w:tcPr>
            <w:tcW w:type="dxa" w:w="3760"/>
            <w:gridSpan w:val="1"/>
            <w:tcBorders>
              <w:top w:val="single" w:color="E2E8F0" w:sz="1"/>
              <w:left w:val="single" w:color="E2E8F0" w:sz="1"/>
              <w:bottom w:val="single" w:color="E2E8F0" w:sz="1"/>
              <w:right w:val="single" w:color="E2E8F0" w:sz="1"/>
            </w:tcBorders>
            <w:shd w:fill="CCFBF1"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Guards calling off frequently are disengaging before they resign</w:t>
            </w:r>
          </w:p>
        </w:tc>
      </w:tr>
      <w:tr>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bCs/>
                <w:color w:val="1E293B"/>
                <w:sz w:val="20"/>
                <w:szCs w:val="20"/>
              </w:rPr>
              <w:t xml:space="preserve">Tenure Days</w:t>
            </w:r>
          </w:p>
        </w:tc>
        <w:tc>
          <w:tcPr>
            <w:tcW w:type="dxa" w:w="24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Contact.Tenure_Days__c</w:t>
            </w:r>
          </w:p>
        </w:tc>
        <w:tc>
          <w:tcPr>
            <w:tcW w:type="dxa" w:w="12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#2 (613)</w:t>
            </w:r>
          </w:p>
        </w:tc>
        <w:tc>
          <w:tcPr>
            <w:tcW w:type="dxa" w:w="376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100% of guards with &lt;90 days tenure in your data churned</w:t>
            </w:r>
          </w:p>
        </w:tc>
      </w:tr>
      <w:tr>
        <w:tc>
          <w:tcPr>
            <w:tcW w:type="dxa" w:w="2000"/>
            <w:gridSpan w:val="1"/>
            <w:tcBorders>
              <w:top w:val="single" w:color="E2E8F0" w:sz="1"/>
              <w:left w:val="single" w:color="E2E8F0" w:sz="1"/>
              <w:bottom w:val="single" w:color="E2E8F0" w:sz="1"/>
              <w:right w:val="single" w:color="E2E8F0" w:sz="1"/>
            </w:tcBorders>
            <w:shd w:fill="CCFBF1"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Performance Rating</w:t>
            </w:r>
          </w:p>
        </w:tc>
        <w:tc>
          <w:tcPr>
            <w:tcW w:type="dxa" w:w="2400"/>
            <w:gridSpan w:val="1"/>
            <w:tcBorders>
              <w:top w:val="single" w:color="E2E8F0" w:sz="1"/>
              <w:left w:val="single" w:color="E2E8F0" w:sz="1"/>
              <w:bottom w:val="single" w:color="E2E8F0" w:sz="1"/>
              <w:right w:val="single" w:color="E2E8F0" w:sz="1"/>
            </w:tcBorders>
            <w:shd w:fill="CCFBF1"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Contact.Performance_Rating__c</w:t>
            </w:r>
          </w:p>
        </w:tc>
        <w:tc>
          <w:tcPr>
            <w:tcW w:type="dxa" w:w="1200"/>
            <w:gridSpan w:val="1"/>
            <w:tcBorders>
              <w:top w:val="single" w:color="E2E8F0" w:sz="1"/>
              <w:left w:val="single" w:color="E2E8F0" w:sz="1"/>
              <w:bottom w:val="single" w:color="E2E8F0" w:sz="1"/>
              <w:right w:val="single" w:color="E2E8F0" w:sz="1"/>
            </w:tcBorders>
            <w:shd w:fill="CCFBF1"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#3 (541)</w:t>
            </w:r>
          </w:p>
        </w:tc>
        <w:tc>
          <w:tcPr>
            <w:tcW w:type="dxa" w:w="3760"/>
            <w:gridSpan w:val="1"/>
            <w:tcBorders>
              <w:top w:val="single" w:color="E2E8F0" w:sz="1"/>
              <w:left w:val="single" w:color="E2E8F0" w:sz="1"/>
              <w:bottom w:val="single" w:color="E2E8F0" w:sz="1"/>
              <w:right w:val="single" w:color="E2E8F0" w:sz="1"/>
            </w:tcBorders>
            <w:shd w:fill="CCFBF1"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Low ratings predict both involuntary and voluntary exits</w:t>
            </w:r>
          </w:p>
        </w:tc>
      </w:tr>
      <w:tr>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Hourly Rate</w:t>
            </w:r>
          </w:p>
        </w:tc>
        <w:tc>
          <w:tcPr>
            <w:tcW w:type="dxa" w:w="24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Contact.Hourly_Rate__c</w:t>
            </w:r>
          </w:p>
        </w:tc>
        <w:tc>
          <w:tcPr>
            <w:tcW w:type="dxa" w:w="12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#4 (247)</w:t>
            </w:r>
          </w:p>
        </w:tc>
        <w:tc>
          <w:tcPr>
            <w:tcW w:type="dxa" w:w="376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Lower-paid guards churn faster — rate affects retention</w:t>
            </w:r>
          </w:p>
        </w:tc>
      </w:tr>
      <w:tr>
        <w:tc>
          <w:tcPr>
            <w:tcW w:type="dxa" w:w="2000"/>
            <w:gridSpan w:val="1"/>
            <w:tcBorders>
              <w:top w:val="single" w:color="E2E8F0" w:sz="1"/>
              <w:left w:val="single" w:color="E2E8F0" w:sz="1"/>
              <w:bottom w:val="single" w:color="E2E8F0" w:sz="1"/>
              <w:right w:val="single" w:color="E2E8F0" w:sz="1"/>
            </w:tcBorders>
            <w:shd w:fill="CCFBF1"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Shift Call-offs</w:t>
            </w:r>
          </w:p>
        </w:tc>
        <w:tc>
          <w:tcPr>
            <w:tcW w:type="dxa" w:w="2400"/>
            <w:gridSpan w:val="1"/>
            <w:tcBorders>
              <w:top w:val="single" w:color="E2E8F0" w:sz="1"/>
              <w:left w:val="single" w:color="E2E8F0" w:sz="1"/>
              <w:bottom w:val="single" w:color="E2E8F0" w:sz="1"/>
              <w:right w:val="single" w:color="E2E8F0" w:sz="1"/>
            </w:tcBorders>
            <w:shd w:fill="CCFBF1"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Shift__c No-Show count</w:t>
            </w:r>
          </w:p>
        </w:tc>
        <w:tc>
          <w:tcPr>
            <w:tcW w:type="dxa" w:w="1200"/>
            <w:gridSpan w:val="1"/>
            <w:tcBorders>
              <w:top w:val="single" w:color="E2E8F0" w:sz="1"/>
              <w:left w:val="single" w:color="E2E8F0" w:sz="1"/>
              <w:bottom w:val="single" w:color="E2E8F0" w:sz="1"/>
              <w:right w:val="single" w:color="E2E8F0" w:sz="1"/>
            </w:tcBorders>
            <w:shd w:fill="CCFBF1"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#5 (243)</w:t>
            </w:r>
          </w:p>
        </w:tc>
        <w:tc>
          <w:tcPr>
            <w:tcW w:type="dxa" w:w="3760"/>
            <w:gridSpan w:val="1"/>
            <w:tcBorders>
              <w:top w:val="single" w:color="E2E8F0" w:sz="1"/>
              <w:left w:val="single" w:color="E2E8F0" w:sz="1"/>
              <w:bottom w:val="single" w:color="E2E8F0" w:sz="1"/>
              <w:right w:val="single" w:color="E2E8F0" w:sz="1"/>
            </w:tcBorders>
            <w:shd w:fill="CCFBF1"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No-show patterns from actual shift records, separate from total call-offs</w:t>
            </w:r>
          </w:p>
        </w:tc>
      </w:tr>
      <w:tr>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Site OT %</w:t>
            </w:r>
          </w:p>
        </w:tc>
        <w:tc>
          <w:tcPr>
            <w:tcW w:type="dxa" w:w="24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Monthly_Performance__c.OT_Pct__c</w:t>
            </w:r>
          </w:p>
        </w:tc>
        <w:tc>
          <w:tcPr>
            <w:tcW w:type="dxa" w:w="12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#6 (208)</w:t>
            </w:r>
          </w:p>
        </w:tc>
        <w:tc>
          <w:tcPr>
            <w:tcW w:type="dxa" w:w="376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Guards at high-OT sites burn out and leave faster</w:t>
            </w:r>
          </w:p>
        </w:tc>
      </w:tr>
      <w:tr>
        <w:tc>
          <w:tcPr>
            <w:tcW w:type="dxa" w:w="2000"/>
            <w:gridSpan w:val="1"/>
            <w:tcBorders>
              <w:top w:val="single" w:color="E2E8F0" w:sz="1"/>
              <w:left w:val="single" w:color="E2E8F0" w:sz="1"/>
              <w:bottom w:val="single" w:color="E2E8F0" w:sz="1"/>
              <w:right w:val="single" w:color="E2E8F0" w:sz="1"/>
            </w:tcBorders>
            <w:shd w:fill="CCFBF1"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Rate Ratio</w:t>
            </w:r>
          </w:p>
        </w:tc>
        <w:tc>
          <w:tcPr>
            <w:tcW w:type="dxa" w:w="2400"/>
            <w:gridSpan w:val="1"/>
            <w:tcBorders>
              <w:top w:val="single" w:color="E2E8F0" w:sz="1"/>
              <w:left w:val="single" w:color="E2E8F0" w:sz="1"/>
              <w:bottom w:val="single" w:color="E2E8F0" w:sz="1"/>
              <w:right w:val="single" w:color="E2E8F0" w:sz="1"/>
            </w:tcBorders>
            <w:shd w:fill="CCFBF1"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Bill_Rate / Pay_Rate</w:t>
            </w:r>
          </w:p>
        </w:tc>
        <w:tc>
          <w:tcPr>
            <w:tcW w:type="dxa" w:w="1200"/>
            <w:gridSpan w:val="1"/>
            <w:tcBorders>
              <w:top w:val="single" w:color="E2E8F0" w:sz="1"/>
              <w:left w:val="single" w:color="E2E8F0" w:sz="1"/>
              <w:bottom w:val="single" w:color="E2E8F0" w:sz="1"/>
              <w:right w:val="single" w:color="E2E8F0" w:sz="1"/>
            </w:tcBorders>
            <w:shd w:fill="CCFBF1"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#8 (93)</w:t>
            </w:r>
          </w:p>
        </w:tc>
        <w:tc>
          <w:tcPr>
            <w:tcW w:type="dxa" w:w="3760"/>
            <w:gridSpan w:val="1"/>
            <w:tcBorders>
              <w:top w:val="single" w:color="E2E8F0" w:sz="1"/>
              <w:left w:val="single" w:color="E2E8F0" w:sz="1"/>
              <w:bottom w:val="single" w:color="E2E8F0" w:sz="1"/>
              <w:right w:val="single" w:color="E2E8F0" w:sz="1"/>
            </w:tcBorders>
            <w:shd w:fill="CCFBF1"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Tight spread = higher guard turnover (correlated with site stress)</w:t>
            </w:r>
          </w:p>
        </w:tc>
      </w:tr>
      <w:tr>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Site Type</w:t>
            </w:r>
          </w:p>
        </w:tc>
        <w:tc>
          <w:tcPr>
            <w:tcW w:type="dxa" w:w="24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Account.Site_Type__c</w:t>
            </w:r>
          </w:p>
        </w:tc>
        <w:tc>
          <w:tcPr>
            <w:tcW w:type="dxa" w:w="12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#9 (81)</w:t>
            </w:r>
          </w:p>
        </w:tc>
        <w:tc>
          <w:tcPr>
            <w:tcW w:type="dxa" w:w="376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Industrial (50% churn) vs Corporate (4% churn) is a strong signal</w:t>
            </w:r>
          </w:p>
        </w:tc>
      </w:tr>
    </w:tbl>
    <w:p>
      <w:pPr>
        <w:spacing w:after="0" w:before="80"/>
      </w:pPr>
    </w:p>
    <w:p>
      <w:pPr>
        <w:pStyle w:val="Heading2"/>
        <w:spacing w:after="100" w:before="260"/>
      </w:pPr>
      <w:r>
        <w:rPr>
          <w:rFonts w:ascii="Arial" w:cs="Arial" w:eastAsia="Arial" w:hAnsi="Arial"/>
          <w:b/>
          <w:bCs/>
          <w:color w:val="2563EB"/>
          <w:sz w:val="20"/>
          <w:szCs w:val="20"/>
        </w:rPr>
        <w:t xml:space="preserve">2.3  Key findings from the data</w:t>
      </w:r>
    </w:p>
    <w:p>
      <w:pPr>
        <w:pStyle w:val="ListParagraph"/>
        <w:numPr>
          <w:ilvl w:val="0"/>
          <w:numId w:val="2"/>
        </w:numPr>
        <w:spacing w:after="40" w:before="40"/>
      </w:pPr>
      <w:r>
        <w:rPr>
          <w:rFonts w:ascii="Arial" w:cs="Arial" w:eastAsia="Arial" w:hAnsi="Arial"/>
          <w:b w:val="false"/>
          <w:bCs w:val="false"/>
          <w:color w:val="1E293B"/>
          <w:sz w:val="20"/>
          <w:szCs w:val="20"/>
        </w:rPr>
        <w:t xml:space="preserve">Tenure is binary in your data: every guard with &lt;90 days tenure churned. Every guard with &gt;365 days tenure stayed. This makes tenure the most actionable feature — flag new hires immediately.</w:t>
      </w:r>
    </w:p>
    <w:p>
      <w:pPr>
        <w:pStyle w:val="ListParagraph"/>
        <w:numPr>
          <w:ilvl w:val="0"/>
          <w:numId w:val="2"/>
        </w:numPr>
        <w:spacing w:after="40" w:before="40"/>
      </w:pPr>
      <w:r>
        <w:rPr>
          <w:rFonts w:ascii="Arial" w:cs="Arial" w:eastAsia="Arial" w:hAnsi="Arial"/>
          <w:b w:val="false"/>
          <w:bCs w:val="false"/>
          <w:color w:val="1E293B"/>
          <w:sz w:val="20"/>
          <w:szCs w:val="20"/>
        </w:rPr>
        <w:t xml:space="preserve">Industrial sites (Beta Logistics) had a 50% churn rate vs 4% at Corporate (Alpha HQ). Site type alone explains a large part of turnover variance.</w:t>
      </w:r>
    </w:p>
    <w:p>
      <w:pPr>
        <w:pStyle w:val="ListParagraph"/>
        <w:numPr>
          <w:ilvl w:val="0"/>
          <w:numId w:val="2"/>
        </w:numPr>
        <w:spacing w:after="40" w:before="40"/>
      </w:pPr>
      <w:r>
        <w:rPr>
          <w:rFonts w:ascii="Arial" w:cs="Arial" w:eastAsia="Arial" w:hAnsi="Arial"/>
          <w:b w:val="false"/>
          <w:bCs w:val="false"/>
          <w:color w:val="1E293B"/>
          <w:sz w:val="20"/>
          <w:szCs w:val="20"/>
        </w:rPr>
        <w:t xml:space="preserve">Healthcare (Delta) had 18.5% churn — the second highest. Combined with its structural margin problem, this makes Delta sites the highest combined financial risk in your portfolio.</w:t>
      </w:r>
    </w:p>
    <w:p>
      <w:pPr>
        <w:pStyle w:val="ListParagraph"/>
        <w:numPr>
          <w:ilvl w:val="0"/>
          <w:numId w:val="2"/>
        </w:numPr>
        <w:spacing w:after="40" w:before="40"/>
      </w:pPr>
      <w:r>
        <w:rPr>
          <w:rFonts w:ascii="Arial" w:cs="Arial" w:eastAsia="Arial" w:hAnsi="Arial"/>
          <w:b w:val="false"/>
          <w:bCs w:val="false"/>
          <w:color w:val="1E293B"/>
          <w:sz w:val="20"/>
          <w:szCs w:val="20"/>
        </w:rPr>
        <w:t xml:space="preserve">The model outputs a probability 0–1. Scores ≥0.6 = High risk, 0.3–0.6 = Medium, &lt;0.3 = Low.</w:t>
      </w:r>
    </w:p>
    <w:p>
      <w:r>
        <w:br w:type="page"/>
      </w:r>
    </w:p>
    <w:p>
      <w:pPr>
        <w:pStyle w:val="Heading1"/>
        <w:pBdr>
          <w:bottom w:val="single" w:color="2563EB" w:sz="8" w:space="4"/>
        </w:pBdr>
        <w:spacing w:after="140" w:before="360"/>
      </w:pPr>
      <w:r>
        <w:rPr>
          <w:rFonts w:ascii="Arial" w:cs="Arial" w:eastAsia="Arial" w:hAnsi="Arial"/>
          <w:b/>
          <w:bCs/>
          <w:color w:val="1B2A4A"/>
          <w:sz w:val="20"/>
          <w:szCs w:val="20"/>
        </w:rPr>
        <w:t xml:space="preserve">3. The FastAPI Server (churn_api.py)</w:t>
      </w:r>
    </w:p>
    <w:p>
      <w:pPr>
        <w:spacing w:after="60" w:before="60"/>
        <w:jc w:val="left"/>
      </w:pPr>
      <w:r>
        <w:rPr>
          <w:rFonts w:ascii="Arial" w:cs="Arial" w:eastAsia="Arial" w:hAnsi="Arial"/>
          <w:b w:val="false"/>
          <w:bCs w:val="false"/>
          <w:color w:val="1E293B"/>
          <w:sz w:val="20"/>
          <w:szCs w:val="20"/>
        </w:rPr>
        <w:t xml:space="preserve">FastAPI is a Python web framework that turns your model into a REST endpoint Salesforce can call. It loads the trained .pkl model file at startup and exposes three endpoints.</w:t>
      </w:r>
    </w:p>
    <w:p>
      <w:pPr>
        <w:spacing w:after="0" w:before="80"/>
      </w:pPr>
    </w:p>
    <w:p>
      <w:pPr>
        <w:pStyle w:val="Heading2"/>
        <w:spacing w:after="100" w:before="260"/>
      </w:pPr>
      <w:r>
        <w:rPr>
          <w:rFonts w:ascii="Arial" w:cs="Arial" w:eastAsia="Arial" w:hAnsi="Arial"/>
          <w:b/>
          <w:bCs/>
          <w:color w:val="2563EB"/>
          <w:sz w:val="20"/>
          <w:szCs w:val="20"/>
        </w:rPr>
        <w:t xml:space="preserve">3.1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2400"/>
        <w:gridCol w:w="3860"/>
      </w:tblGrid>
      <w:tr>
        <w:tc>
          <w:tcPr>
            <w:tcW w:type="dxa" w:w="2200"/>
            <w:tcBorders>
              <w:top w:val="single" w:color="2563EB" w:sz="1"/>
              <w:left w:val="single" w:color="2563EB" w:sz="1"/>
              <w:bottom w:val="single" w:color="2563EB" w:sz="1"/>
              <w:right w:val="single" w:color="2563EB" w:sz="1"/>
            </w:tcBorders>
            <w:shd w:fill="2563EB" w:val="clear"/>
            <w:tcMar>
              <w:top w:type="dxa" w:w="90"/>
              <w:left w:type="dxa" w:w="130"/>
              <w:bottom w:type="dxa" w:w="90"/>
              <w:right w:type="dxa" w:w="130"/>
            </w:tcMar>
          </w:tcPr>
          <w:p>
            <w:pPr>
              <w:spacing w:after="60" w:before="60"/>
            </w:pPr>
            <w:r>
              <w:rPr>
                <w:rFonts w:ascii="Arial" w:cs="Arial" w:eastAsia="Arial" w:hAnsi="Arial"/>
                <w:b/>
                <w:bCs/>
                <w:color w:val="FFFFFF"/>
                <w:sz w:val="20"/>
                <w:szCs w:val="20"/>
              </w:rPr>
              <w:t xml:space="preserve">Endpoint</w:t>
            </w:r>
          </w:p>
        </w:tc>
        <w:tc>
          <w:tcPr>
            <w:tcW w:type="dxa" w:w="900"/>
            <w:tcBorders>
              <w:top w:val="single" w:color="2563EB" w:sz="1"/>
              <w:left w:val="single" w:color="2563EB" w:sz="1"/>
              <w:bottom w:val="single" w:color="2563EB" w:sz="1"/>
              <w:right w:val="single" w:color="2563EB" w:sz="1"/>
            </w:tcBorders>
            <w:shd w:fill="2563EB" w:val="clear"/>
            <w:tcMar>
              <w:top w:type="dxa" w:w="90"/>
              <w:left w:type="dxa" w:w="130"/>
              <w:bottom w:type="dxa" w:w="90"/>
              <w:right w:type="dxa" w:w="130"/>
            </w:tcMar>
          </w:tcPr>
          <w:p>
            <w:pPr>
              <w:spacing w:after="60" w:before="60"/>
            </w:pPr>
            <w:r>
              <w:rPr>
                <w:rFonts w:ascii="Arial" w:cs="Arial" w:eastAsia="Arial" w:hAnsi="Arial"/>
                <w:b/>
                <w:bCs/>
                <w:color w:val="FFFFFF"/>
                <w:sz w:val="20"/>
                <w:szCs w:val="20"/>
              </w:rPr>
              <w:t xml:space="preserve">Method</w:t>
            </w:r>
          </w:p>
        </w:tc>
        <w:tc>
          <w:tcPr>
            <w:tcW w:type="dxa" w:w="2400"/>
            <w:tcBorders>
              <w:top w:val="single" w:color="2563EB" w:sz="1"/>
              <w:left w:val="single" w:color="2563EB" w:sz="1"/>
              <w:bottom w:val="single" w:color="2563EB" w:sz="1"/>
              <w:right w:val="single" w:color="2563EB" w:sz="1"/>
            </w:tcBorders>
            <w:shd w:fill="2563EB" w:val="clear"/>
            <w:tcMar>
              <w:top w:type="dxa" w:w="90"/>
              <w:left w:type="dxa" w:w="130"/>
              <w:bottom w:type="dxa" w:w="90"/>
              <w:right w:type="dxa" w:w="130"/>
            </w:tcMar>
          </w:tcPr>
          <w:p>
            <w:pPr>
              <w:spacing w:after="60" w:before="60"/>
            </w:pPr>
            <w:r>
              <w:rPr>
                <w:rFonts w:ascii="Arial" w:cs="Arial" w:eastAsia="Arial" w:hAnsi="Arial"/>
                <w:b/>
                <w:bCs/>
                <w:color w:val="FFFFFF"/>
                <w:sz w:val="20"/>
                <w:szCs w:val="20"/>
              </w:rPr>
              <w:t xml:space="preserve">Called by</w:t>
            </w:r>
          </w:p>
        </w:tc>
        <w:tc>
          <w:tcPr>
            <w:tcW w:type="dxa" w:w="3860"/>
            <w:tcBorders>
              <w:top w:val="single" w:color="2563EB" w:sz="1"/>
              <w:left w:val="single" w:color="2563EB" w:sz="1"/>
              <w:bottom w:val="single" w:color="2563EB" w:sz="1"/>
              <w:right w:val="single" w:color="2563EB" w:sz="1"/>
            </w:tcBorders>
            <w:shd w:fill="2563EB" w:val="clear"/>
            <w:tcMar>
              <w:top w:type="dxa" w:w="90"/>
              <w:left w:type="dxa" w:w="130"/>
              <w:bottom w:type="dxa" w:w="90"/>
              <w:right w:type="dxa" w:w="130"/>
            </w:tcMar>
          </w:tcPr>
          <w:p>
            <w:pPr>
              <w:spacing w:after="60" w:before="60"/>
            </w:pPr>
            <w:r>
              <w:rPr>
                <w:rFonts w:ascii="Arial" w:cs="Arial" w:eastAsia="Arial" w:hAnsi="Arial"/>
                <w:b/>
                <w:bCs/>
                <w:color w:val="FFFFFF"/>
                <w:sz w:val="20"/>
                <w:szCs w:val="20"/>
              </w:rPr>
              <w:t xml:space="preserve">Returns</w:t>
            </w:r>
          </w:p>
        </w:tc>
      </w:tr>
      <w:tr>
        <w:tc>
          <w:tcPr>
            <w:tcW w:type="dxa" w:w="2200"/>
            <w:gridSpan w:val="1"/>
            <w:tcBorders>
              <w:top w:val="single" w:color="E2E8F0" w:sz="1"/>
              <w:left w:val="single" w:color="E2E8F0" w:sz="1"/>
              <w:bottom w:val="single" w:color="E2E8F0" w:sz="1"/>
              <w:right w:val="single" w:color="E2E8F0" w:sz="1"/>
            </w:tcBorders>
            <w:shd w:fill="DBEAFE"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GET /health</w:t>
            </w:r>
          </w:p>
        </w:tc>
        <w:tc>
          <w:tcPr>
            <w:tcW w:type="dxa" w:w="900"/>
            <w:gridSpan w:val="1"/>
            <w:tcBorders>
              <w:top w:val="single" w:color="E2E8F0" w:sz="1"/>
              <w:left w:val="single" w:color="E2E8F0" w:sz="1"/>
              <w:bottom w:val="single" w:color="E2E8F0" w:sz="1"/>
              <w:right w:val="single" w:color="E2E8F0" w:sz="1"/>
            </w:tcBorders>
            <w:shd w:fill="DBEAFE"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GET</w:t>
            </w:r>
          </w:p>
        </w:tc>
        <w:tc>
          <w:tcPr>
            <w:tcW w:type="dxa" w:w="2400"/>
            <w:gridSpan w:val="1"/>
            <w:tcBorders>
              <w:top w:val="single" w:color="E2E8F0" w:sz="1"/>
              <w:left w:val="single" w:color="E2E8F0" w:sz="1"/>
              <w:bottom w:val="single" w:color="E2E8F0" w:sz="1"/>
              <w:right w:val="single" w:color="E2E8F0" w:sz="1"/>
            </w:tcBorders>
            <w:shd w:fill="DBEAFE"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Monitoring / manual check</w:t>
            </w:r>
          </w:p>
        </w:tc>
        <w:tc>
          <w:tcPr>
            <w:tcW w:type="dxa" w:w="3860"/>
            <w:gridSpan w:val="1"/>
            <w:tcBorders>
              <w:top w:val="single" w:color="E2E8F0" w:sz="1"/>
              <w:left w:val="single" w:color="E2E8F0" w:sz="1"/>
              <w:bottom w:val="single" w:color="E2E8F0" w:sz="1"/>
              <w:right w:val="single" w:color="E2E8F0" w:sz="1"/>
            </w:tcBorders>
            <w:shd w:fill="DBEAFE"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Model status, AUC, training sample count</w:t>
            </w:r>
          </w:p>
        </w:tc>
      </w:tr>
      <w:tr>
        <w:tc>
          <w:tcPr>
            <w:tcW w:type="dxa" w:w="22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POST /predict/churn</w:t>
            </w:r>
          </w:p>
        </w:tc>
        <w:tc>
          <w:tcPr>
            <w:tcW w:type="dxa" w:w="9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POST</w:t>
            </w:r>
          </w:p>
        </w:tc>
        <w:tc>
          <w:tcPr>
            <w:tcW w:type="dxa" w:w="24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Apex ChurnModelCallout.cls (single guard)</w:t>
            </w:r>
          </w:p>
        </w:tc>
        <w:tc>
          <w:tcPr>
            <w:tcW w:type="dxa" w:w="386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churn_probability, churn_tier, top_risk_factor, recommended_action</w:t>
            </w:r>
          </w:p>
        </w:tc>
      </w:tr>
      <w:tr>
        <w:tc>
          <w:tcPr>
            <w:tcW w:type="dxa" w:w="2200"/>
            <w:gridSpan w:val="1"/>
            <w:tcBorders>
              <w:top w:val="single" w:color="E2E8F0" w:sz="1"/>
              <w:left w:val="single" w:color="E2E8F0" w:sz="1"/>
              <w:bottom w:val="single" w:color="E2E8F0" w:sz="1"/>
              <w:right w:val="single" w:color="E2E8F0" w:sz="1"/>
            </w:tcBorders>
            <w:shd w:fill="DBEAFE"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POST /predict/churn/batch</w:t>
            </w:r>
          </w:p>
        </w:tc>
        <w:tc>
          <w:tcPr>
            <w:tcW w:type="dxa" w:w="900"/>
            <w:gridSpan w:val="1"/>
            <w:tcBorders>
              <w:top w:val="single" w:color="E2E8F0" w:sz="1"/>
              <w:left w:val="single" w:color="E2E8F0" w:sz="1"/>
              <w:bottom w:val="single" w:color="E2E8F0" w:sz="1"/>
              <w:right w:val="single" w:color="E2E8F0" w:sz="1"/>
            </w:tcBorders>
            <w:shd w:fill="DBEAFE"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POST</w:t>
            </w:r>
          </w:p>
        </w:tc>
        <w:tc>
          <w:tcPr>
            <w:tcW w:type="dxa" w:w="2400"/>
            <w:gridSpan w:val="1"/>
            <w:tcBorders>
              <w:top w:val="single" w:color="E2E8F0" w:sz="1"/>
              <w:left w:val="single" w:color="E2E8F0" w:sz="1"/>
              <w:bottom w:val="single" w:color="E2E8F0" w:sz="1"/>
              <w:right w:val="single" w:color="E2E8F0" w:sz="1"/>
            </w:tcBorders>
            <w:shd w:fill="DBEAFE"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salesforce_push.py (all guards, weekly)</w:t>
            </w:r>
          </w:p>
        </w:tc>
        <w:tc>
          <w:tcPr>
            <w:tcW w:type="dxa" w:w="3860"/>
            <w:gridSpan w:val="1"/>
            <w:tcBorders>
              <w:top w:val="single" w:color="E2E8F0" w:sz="1"/>
              <w:left w:val="single" w:color="E2E8F0" w:sz="1"/>
              <w:bottom w:val="single" w:color="E2E8F0" w:sz="1"/>
              <w:right w:val="single" w:color="E2E8F0" w:sz="1"/>
            </w:tcBorders>
            <w:shd w:fill="DBEAFE"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Same fields for each guard in the list</w:t>
            </w:r>
          </w:p>
        </w:tc>
      </w:tr>
      <w:tr>
        <w:tc>
          <w:tcPr>
            <w:tcW w:type="dxa" w:w="22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GET /model/info</w:t>
            </w:r>
          </w:p>
        </w:tc>
        <w:tc>
          <w:tcPr>
            <w:tcW w:type="dxa" w:w="9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GET</w:t>
            </w:r>
          </w:p>
        </w:tc>
        <w:tc>
          <w:tcPr>
            <w:tcW w:type="dxa" w:w="24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Manual inspection</w:t>
            </w:r>
          </w:p>
        </w:tc>
        <w:tc>
          <w:tcPr>
            <w:tcW w:type="dxa" w:w="386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Feature names, thresholds, training stats</w:t>
            </w:r>
          </w:p>
        </w:tc>
      </w:tr>
    </w:tbl>
    <w:p>
      <w:pPr>
        <w:spacing w:after="0" w:before="80"/>
      </w:pPr>
    </w:p>
    <w:p>
      <w:pPr>
        <w:pStyle w:val="Heading2"/>
        <w:spacing w:after="100" w:before="260"/>
      </w:pPr>
      <w:r>
        <w:rPr>
          <w:rFonts w:ascii="Arial" w:cs="Arial" w:eastAsia="Arial" w:hAnsi="Arial"/>
          <w:b/>
          <w:bCs/>
          <w:color w:val="2563EB"/>
          <w:sz w:val="20"/>
          <w:szCs w:val="20"/>
        </w:rPr>
        <w:t xml:space="preserve">3.2  How to deploy it</w:t>
      </w:r>
    </w:p>
    <w:p>
      <w:pPr>
        <w:pStyle w:val="ListParagraph"/>
        <w:numPr>
          <w:ilvl w:val="0"/>
          <w:numId w:val="3"/>
        </w:numPr>
        <w:spacing w:after="40" w:before="40"/>
      </w:pPr>
      <w:r>
        <w:rPr>
          <w:rFonts w:ascii="Arial" w:cs="Arial" w:eastAsia="Arial" w:hAnsi="Arial"/>
          <w:b w:val="false"/>
          <w:bCs w:val="false"/>
          <w:color w:val="1E293B"/>
          <w:sz w:val="20"/>
          <w:szCs w:val="20"/>
        </w:rPr>
        <w:t xml:space="preserve">Install Python 3.11+ and run: pip install -r requirements.txt</w:t>
      </w:r>
    </w:p>
    <w:p>
      <w:pPr>
        <w:pStyle w:val="ListParagraph"/>
        <w:numPr>
          <w:ilvl w:val="0"/>
          <w:numId w:val="3"/>
        </w:numPr>
        <w:spacing w:after="40" w:before="40"/>
      </w:pPr>
      <w:r>
        <w:rPr>
          <w:rFonts w:ascii="Arial" w:cs="Arial" w:eastAsia="Arial" w:hAnsi="Arial"/>
          <w:b w:val="false"/>
          <w:bCs w:val="false"/>
          <w:color w:val="1E293B"/>
          <w:sz w:val="20"/>
          <w:szCs w:val="20"/>
        </w:rPr>
        <w:t xml:space="preserve">Copy the three model files to the same folder as churn_api.py: lgbm_churn.pkl, label_encoder.pkl, model_metadata.json</w:t>
      </w:r>
    </w:p>
    <w:p>
      <w:pPr>
        <w:pStyle w:val="ListParagraph"/>
        <w:numPr>
          <w:ilvl w:val="0"/>
          <w:numId w:val="3"/>
        </w:numPr>
        <w:spacing w:after="40" w:before="40"/>
      </w:pPr>
      <w:r>
        <w:rPr>
          <w:rFonts w:ascii="Arial" w:cs="Arial" w:eastAsia="Arial" w:hAnsi="Arial"/>
          <w:b w:val="false"/>
          <w:bCs w:val="false"/>
          <w:color w:val="1E293B"/>
          <w:sz w:val="20"/>
          <w:szCs w:val="20"/>
        </w:rPr>
        <w:t xml:space="preserve">Test locally: python churn_api.py — server starts at http://localhost:8000</w:t>
      </w:r>
    </w:p>
    <w:p>
      <w:pPr>
        <w:pStyle w:val="ListParagraph"/>
        <w:numPr>
          <w:ilvl w:val="0"/>
          <w:numId w:val="3"/>
        </w:numPr>
        <w:spacing w:after="40" w:before="40"/>
      </w:pPr>
      <w:r>
        <w:rPr>
          <w:rFonts w:ascii="Arial" w:cs="Arial" w:eastAsia="Arial" w:hAnsi="Arial"/>
          <w:b w:val="false"/>
          <w:bCs w:val="false"/>
          <w:color w:val="1E293B"/>
          <w:sz w:val="20"/>
          <w:szCs w:val="20"/>
        </w:rPr>
        <w:t xml:space="preserve">Visit http://localhost:8000/docs — FastAPI auto-generates an interactive test UI (Swagger). Test the /predict/churn endpoint with a sample guard payload.</w:t>
      </w:r>
    </w:p>
    <w:p>
      <w:pPr>
        <w:pStyle w:val="ListParagraph"/>
        <w:numPr>
          <w:ilvl w:val="0"/>
          <w:numId w:val="3"/>
        </w:numPr>
        <w:spacing w:after="40" w:before="40"/>
      </w:pPr>
      <w:r>
        <w:rPr>
          <w:rFonts w:ascii="Arial" w:cs="Arial" w:eastAsia="Arial" w:hAnsi="Arial"/>
          <w:b w:val="false"/>
          <w:bCs w:val="false"/>
          <w:color w:val="1E293B"/>
          <w:sz w:val="20"/>
          <w:szCs w:val="20"/>
        </w:rPr>
        <w:t xml:space="preserve">Deploy to Railway.app (recommended for simplicity): install Railway CLI, run railway init then railway up. Your API gets a public URL like https://vista-churn.railway.app</w:t>
      </w:r>
    </w:p>
    <w:p>
      <w:pPr>
        <w:pStyle w:val="ListParagraph"/>
        <w:numPr>
          <w:ilvl w:val="0"/>
          <w:numId w:val="3"/>
        </w:numPr>
        <w:spacing w:after="40" w:before="40"/>
      </w:pPr>
      <w:r>
        <w:rPr>
          <w:rFonts w:ascii="Arial" w:cs="Arial" w:eastAsia="Arial" w:hAnsi="Arial"/>
          <w:b w:val="false"/>
          <w:bCs w:val="false"/>
          <w:color w:val="1E293B"/>
          <w:sz w:val="20"/>
          <w:szCs w:val="20"/>
        </w:rPr>
        <w:t xml:space="preserve">In Salesforce Setup → Named Credentials → New: Label = Vista_ML_API, URL = your Railway URL, Auth = No Authentication (add API key later for production security)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6A34A" w:val="clear"/>
            <w:tcMar>
              <w:top w:type="dxa" w:w="110"/>
              <w:left w:type="dxa" w:w="110"/>
              <w:bottom w:type="dxa" w:w="110"/>
              <w:right w:type="dxa" w:w="100"/>
            </w:tcMar>
          </w:tcPr>
          <w:p>
            <w:pPr>
              <w:spacing w:after="40" w:before="40"/>
              <w:jc w:val="center"/>
            </w:pPr>
            <w:r>
              <w:rPr>
                <w:rFonts w:ascii="Arial" w:cs="Arial" w:eastAsia="Arial" w:hAnsi="Arial"/>
                <w:b/>
                <w:bCs/>
                <w:color w:val="FFFFFF"/>
                <w:sz w:val="20"/>
                <w:szCs w:val="20"/>
              </w:rPr>
              <w:t xml:space="preserve">DEPLOY</w:t>
            </w:r>
          </w:p>
        </w:tc>
        <w:tc>
          <w:tcPr>
            <w:tcW w:type="dxa" w:w="9080"/>
            <w:tcBorders>
              <w:top w:val="none" w:color="FFFFFF" w:sz="0"/>
              <w:left w:val="none" w:color="FFFFFF" w:sz="0"/>
              <w:bottom w:val="none" w:color="FFFFFF" w:sz="0"/>
              <w:right w:val="none" w:color="FFFFFF" w:sz="0"/>
            </w:tcBorders>
            <w:shd w:fill="DCFCE7" w:val="clear"/>
            <w:tcMar>
              <w:top w:type="dxa" w:w="110"/>
              <w:left w:type="dxa" w:w="150"/>
              <w:bottom w:type="dxa" w:w="110"/>
              <w:right w:type="dxa" w:w="110"/>
            </w:tcMar>
          </w:tcPr>
          <w:p>
            <w:pPr>
              <w:spacing w:after="40" w:before="40"/>
            </w:pPr>
            <w:r>
              <w:rPr>
                <w:rFonts w:ascii="Arial" w:cs="Arial" w:eastAsia="Arial" w:hAnsi="Arial"/>
                <w:b w:val="false"/>
                <w:bCs w:val="false"/>
                <w:color w:val="1B2A4A"/>
                <w:sz w:val="20"/>
                <w:szCs w:val="20"/>
              </w:rPr>
              <w:t xml:space="preserve">Railway.app free tier handles ~500 requests/day which is more than enough for Vista (25 sites, 126 guards, weekly scoring). Upgrade to $5/month paid tier if you add real-time scoring for every shift save.</w:t>
            </w:r>
          </w:p>
        </w:tc>
      </w:tr>
    </w:tbl>
    <w:p>
      <w:r>
        <w:br w:type="page"/>
      </w:r>
    </w:p>
    <w:p>
      <w:pPr>
        <w:pStyle w:val="Heading1"/>
        <w:pBdr>
          <w:bottom w:val="single" w:color="2563EB" w:sz="8" w:space="4"/>
        </w:pBdr>
        <w:spacing w:after="140" w:before="360"/>
      </w:pPr>
      <w:r>
        <w:rPr>
          <w:rFonts w:ascii="Arial" w:cs="Arial" w:eastAsia="Arial" w:hAnsi="Arial"/>
          <w:b/>
          <w:bCs/>
          <w:color w:val="1B2A4A"/>
          <w:sz w:val="20"/>
          <w:szCs w:val="20"/>
        </w:rPr>
        <w:t xml:space="preserve">4. The Salesforce Push Script (salesforce_push.py)</w:t>
      </w:r>
    </w:p>
    <w:p>
      <w:pPr>
        <w:spacing w:after="60" w:before="60"/>
        <w:jc w:val="left"/>
      </w:pPr>
      <w:r>
        <w:rPr>
          <w:rFonts w:ascii="Arial" w:cs="Arial" w:eastAsia="Arial" w:hAnsi="Arial"/>
          <w:b w:val="false"/>
          <w:bCs w:val="false"/>
          <w:color w:val="1E293B"/>
          <w:sz w:val="20"/>
          <w:szCs w:val="20"/>
        </w:rPr>
        <w:t xml:space="preserve">This script runs weekly and handles the bulk scoring workflow: authenticate → fetch all active guards → score in batch → write Turnover_Risk__c back → create HR Tasks. It runs outside Salesforce (as a cron job) because Apex cannot call external APIs in scheduled contexts reliably at scale.</w:t>
      </w:r>
    </w:p>
    <w:p>
      <w:pPr>
        <w:spacing w:after="0" w:before="80"/>
      </w:pPr>
    </w:p>
    <w:p>
      <w:pPr>
        <w:pStyle w:val="Heading2"/>
        <w:spacing w:after="100" w:before="260"/>
      </w:pPr>
      <w:r>
        <w:rPr>
          <w:rFonts w:ascii="Arial" w:cs="Arial" w:eastAsia="Arial" w:hAnsi="Arial"/>
          <w:b/>
          <w:bCs/>
          <w:color w:val="2563EB"/>
          <w:sz w:val="20"/>
          <w:szCs w:val="20"/>
        </w:rPr>
        <w:t xml:space="preserve">4.1  Authentication — how it connects to Salesforce</w:t>
      </w:r>
    </w:p>
    <w:p>
      <w:pPr>
        <w:spacing w:after="60" w:before="60"/>
        <w:jc w:val="left"/>
      </w:pPr>
      <w:r>
        <w:rPr>
          <w:rFonts w:ascii="Arial" w:cs="Arial" w:eastAsia="Arial" w:hAnsi="Arial"/>
          <w:b w:val="false"/>
          <w:bCs w:val="false"/>
          <w:color w:val="1E293B"/>
          <w:sz w:val="20"/>
          <w:szCs w:val="20"/>
        </w:rPr>
        <w:t xml:space="preserve">The script uses Salesforce's OAuth2 Username-Password flow. You create a Connected App in Salesforce that gives the script a Client ID and Secret, then it exchanges those credentials for a short-lived access token.</w:t>
      </w:r>
    </w:p>
    <w:p>
      <w:pPr>
        <w:spacing w:after="0" w:before="60"/>
      </w:pPr>
    </w:p>
    <w:p>
      <w:pPr>
        <w:pStyle w:val="Heading3"/>
        <w:spacing w:after="80" w:before="200"/>
      </w:pPr>
      <w:r>
        <w:rPr>
          <w:rFonts w:ascii="Arial" w:cs="Arial" w:eastAsia="Arial" w:hAnsi="Arial"/>
          <w:b/>
          <w:bCs/>
          <w:color w:val="475569"/>
          <w:sz w:val="20"/>
          <w:szCs w:val="20"/>
        </w:rPr>
        <w:t xml:space="preserve">How to create the Connected App</w:t>
      </w:r>
    </w:p>
    <w:p>
      <w:pPr>
        <w:pStyle w:val="ListParagraph"/>
        <w:numPr>
          <w:ilvl w:val="0"/>
          <w:numId w:val="3"/>
        </w:numPr>
        <w:spacing w:after="40" w:before="40"/>
      </w:pPr>
      <w:r>
        <w:rPr>
          <w:rFonts w:ascii="Arial" w:cs="Arial" w:eastAsia="Arial" w:hAnsi="Arial"/>
          <w:b w:val="false"/>
          <w:bCs w:val="false"/>
          <w:color w:val="1E293B"/>
          <w:sz w:val="20"/>
          <w:szCs w:val="20"/>
        </w:rPr>
        <w:t xml:space="preserve">Salesforce Setup → App Manager → New Connected App</w:t>
      </w:r>
    </w:p>
    <w:p>
      <w:pPr>
        <w:pStyle w:val="ListParagraph"/>
        <w:numPr>
          <w:ilvl w:val="0"/>
          <w:numId w:val="3"/>
        </w:numPr>
        <w:spacing w:after="40" w:before="40"/>
      </w:pPr>
      <w:r>
        <w:rPr>
          <w:rFonts w:ascii="Arial" w:cs="Arial" w:eastAsia="Arial" w:hAnsi="Arial"/>
          <w:b w:val="false"/>
          <w:bCs w:val="false"/>
          <w:color w:val="1E293B"/>
          <w:sz w:val="20"/>
          <w:szCs w:val="20"/>
        </w:rPr>
        <w:t xml:space="preserve">Enable OAuth Settings. Callback URL: https://login.salesforce.com/services/oauth2/success</w:t>
      </w:r>
    </w:p>
    <w:p>
      <w:pPr>
        <w:pStyle w:val="ListParagraph"/>
        <w:numPr>
          <w:ilvl w:val="0"/>
          <w:numId w:val="3"/>
        </w:numPr>
        <w:spacing w:after="40" w:before="40"/>
      </w:pPr>
      <w:r>
        <w:rPr>
          <w:rFonts w:ascii="Arial" w:cs="Arial" w:eastAsia="Arial" w:hAnsi="Arial"/>
          <w:b w:val="false"/>
          <w:bCs w:val="false"/>
          <w:color w:val="1E293B"/>
          <w:sz w:val="20"/>
          <w:szCs w:val="20"/>
        </w:rPr>
        <w:t xml:space="preserve">Selected OAuth Scopes: 'Manage user data via APIs (api)' and 'Perform requests at any time (refresh_token)'</w:t>
      </w:r>
    </w:p>
    <w:p>
      <w:pPr>
        <w:pStyle w:val="ListParagraph"/>
        <w:numPr>
          <w:ilvl w:val="0"/>
          <w:numId w:val="3"/>
        </w:numPr>
        <w:spacing w:after="40" w:before="40"/>
      </w:pPr>
      <w:r>
        <w:rPr>
          <w:rFonts w:ascii="Arial" w:cs="Arial" w:eastAsia="Arial" w:hAnsi="Arial"/>
          <w:b w:val="false"/>
          <w:bCs w:val="false"/>
          <w:color w:val="1E293B"/>
          <w:sz w:val="20"/>
          <w:szCs w:val="20"/>
        </w:rPr>
        <w:t xml:space="preserve">Save. Salesforce generates a Consumer Key (= Client ID) and Consumer Secret</w:t>
      </w:r>
    </w:p>
    <w:p>
      <w:pPr>
        <w:pStyle w:val="ListParagraph"/>
        <w:numPr>
          <w:ilvl w:val="0"/>
          <w:numId w:val="3"/>
        </w:numPr>
        <w:spacing w:after="40" w:before="40"/>
      </w:pPr>
      <w:r>
        <w:rPr>
          <w:rFonts w:ascii="Arial" w:cs="Arial" w:eastAsia="Arial" w:hAnsi="Arial"/>
          <w:b w:val="false"/>
          <w:bCs w:val="false"/>
          <w:color w:val="1E293B"/>
          <w:sz w:val="20"/>
          <w:szCs w:val="20"/>
        </w:rPr>
        <w:t xml:space="preserve">Copy these to your .env file as SF_CLIENT_ID and SF_CLIENT_SEC</w:t>
      </w:r>
    </w:p>
    <w:p>
      <w:pPr>
        <w:pStyle w:val="ListParagraph"/>
        <w:numPr>
          <w:ilvl w:val="0"/>
          <w:numId w:val="3"/>
        </w:numPr>
        <w:spacing w:after="40" w:before="40"/>
      </w:pPr>
      <w:r>
        <w:rPr>
          <w:rFonts w:ascii="Arial" w:cs="Arial" w:eastAsia="Arial" w:hAnsi="Arial"/>
          <w:b w:val="false"/>
          <w:bCs w:val="false"/>
          <w:color w:val="1E293B"/>
          <w:sz w:val="20"/>
          <w:szCs w:val="20"/>
        </w:rPr>
        <w:t xml:space="preserve">Set SF_PASSWORD = your Salesforce password + your Security Token (concatenated, no space). Get Security Token from: My Settings → Personal → Reset My Security Token</w:t>
      </w:r>
    </w:p>
    <w:p>
      <w:pPr>
        <w:spacing w:after="0" w:before="80"/>
      </w:pPr>
    </w:p>
    <w:p>
      <w:pPr>
        <w:pStyle w:val="Heading2"/>
        <w:spacing w:after="100" w:before="260"/>
      </w:pPr>
      <w:r>
        <w:rPr>
          <w:rFonts w:ascii="Arial" w:cs="Arial" w:eastAsia="Arial" w:hAnsi="Arial"/>
          <w:b/>
          <w:bCs/>
          <w:color w:val="2563EB"/>
          <w:sz w:val="20"/>
          <w:szCs w:val="20"/>
        </w:rPr>
        <w:t xml:space="preserve">4.2  The Composite API — why it’s used for bulk updates</w:t>
      </w:r>
    </w:p>
    <w:p>
      <w:pPr>
        <w:spacing w:after="60" w:before="60"/>
        <w:jc w:val="left"/>
      </w:pPr>
      <w:r>
        <w:rPr>
          <w:rFonts w:ascii="Arial" w:cs="Arial" w:eastAsia="Arial" w:hAnsi="Arial"/>
          <w:b w:val="false"/>
          <w:bCs w:val="false"/>
          <w:color w:val="1E293B"/>
          <w:sz w:val="20"/>
          <w:szCs w:val="20"/>
        </w:rPr>
        <w:t xml:space="preserve">Instead of making one HTTP PATCH call per guard (126 calls), the script uses Salesforce’s Composite API which accepts up to 200 record updates in a single POST. This stays well within Salesforce’s API limits and completes in under 3 seconds for all 126 guards.</w:t>
      </w:r>
    </w:p>
    <w:p>
      <w:pPr>
        <w:spacing w:after="0" w:before="80"/>
      </w:pPr>
    </w:p>
    <w:p>
      <w:pPr>
        <w:pStyle w:val="Heading2"/>
        <w:spacing w:after="100" w:before="260"/>
      </w:pPr>
      <w:r>
        <w:rPr>
          <w:rFonts w:ascii="Arial" w:cs="Arial" w:eastAsia="Arial" w:hAnsi="Arial"/>
          <w:b/>
          <w:bCs/>
          <w:color w:val="2563EB"/>
          <w:sz w:val="20"/>
          <w:szCs w:val="20"/>
        </w:rPr>
        <w:t xml:space="preserve">4.3  Scheduling the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7C3AED" w:sz="1"/>
              <w:left w:val="single" w:color="7C3AED" w:sz="1"/>
              <w:bottom w:val="single" w:color="7C3AED" w:sz="1"/>
              <w:right w:val="single" w:color="7C3AED" w:sz="1"/>
            </w:tcBorders>
            <w:shd w:fill="7C3AED" w:val="clear"/>
            <w:tcMar>
              <w:top w:type="dxa" w:w="90"/>
              <w:left w:type="dxa" w:w="130"/>
              <w:bottom w:type="dxa" w:w="90"/>
              <w:right w:type="dxa" w:w="130"/>
            </w:tcMar>
          </w:tcPr>
          <w:p>
            <w:pPr>
              <w:spacing w:after="60" w:before="60"/>
            </w:pPr>
            <w:r>
              <w:rPr>
                <w:rFonts w:ascii="Arial" w:cs="Arial" w:eastAsia="Arial" w:hAnsi="Arial"/>
                <w:b/>
                <w:bCs/>
                <w:color w:val="FFFFFF"/>
                <w:sz w:val="20"/>
                <w:szCs w:val="20"/>
              </w:rPr>
              <w:t xml:space="preserve">Platform</w:t>
            </w:r>
          </w:p>
        </w:tc>
        <w:tc>
          <w:tcPr>
            <w:tcW w:type="dxa" w:w="3800"/>
            <w:tcBorders>
              <w:top w:val="single" w:color="7C3AED" w:sz="1"/>
              <w:left w:val="single" w:color="7C3AED" w:sz="1"/>
              <w:bottom w:val="single" w:color="7C3AED" w:sz="1"/>
              <w:right w:val="single" w:color="7C3AED" w:sz="1"/>
            </w:tcBorders>
            <w:shd w:fill="7C3AED" w:val="clear"/>
            <w:tcMar>
              <w:top w:type="dxa" w:w="90"/>
              <w:left w:type="dxa" w:w="130"/>
              <w:bottom w:type="dxa" w:w="90"/>
              <w:right w:type="dxa" w:w="130"/>
            </w:tcMar>
          </w:tcPr>
          <w:p>
            <w:pPr>
              <w:spacing w:after="60" w:before="60"/>
            </w:pPr>
            <w:r>
              <w:rPr>
                <w:rFonts w:ascii="Arial" w:cs="Arial" w:eastAsia="Arial" w:hAnsi="Arial"/>
                <w:b/>
                <w:bCs/>
                <w:color w:val="FFFFFF"/>
                <w:sz w:val="20"/>
                <w:szCs w:val="20"/>
              </w:rPr>
              <w:t xml:space="preserve">How to schedule</w:t>
            </w:r>
          </w:p>
        </w:tc>
        <w:tc>
          <w:tcPr>
            <w:tcW w:type="dxa" w:w="3560"/>
            <w:tcBorders>
              <w:top w:val="single" w:color="7C3AED" w:sz="1"/>
              <w:left w:val="single" w:color="7C3AED" w:sz="1"/>
              <w:bottom w:val="single" w:color="7C3AED" w:sz="1"/>
              <w:right w:val="single" w:color="7C3AED" w:sz="1"/>
            </w:tcBorders>
            <w:shd w:fill="7C3AED" w:val="clear"/>
            <w:tcMar>
              <w:top w:type="dxa" w:w="90"/>
              <w:left w:type="dxa" w:w="130"/>
              <w:bottom w:type="dxa" w:w="90"/>
              <w:right w:type="dxa" w:w="130"/>
            </w:tcMar>
          </w:tcPr>
          <w:p>
            <w:pPr>
              <w:spacing w:after="60" w:before="60"/>
            </w:pPr>
            <w:r>
              <w:rPr>
                <w:rFonts w:ascii="Arial" w:cs="Arial" w:eastAsia="Arial" w:hAnsi="Arial"/>
                <w:b/>
                <w:bCs/>
                <w:color w:val="FFFFFF"/>
                <w:sz w:val="20"/>
                <w:szCs w:val="20"/>
              </w:rPr>
              <w:t xml:space="preserve">Command</w:t>
            </w:r>
          </w:p>
        </w:tc>
      </w:tr>
      <w:tr>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Linux/Mac (cron)</w:t>
            </w:r>
          </w:p>
        </w:tc>
        <w:tc>
          <w:tcPr>
            <w:tcW w:type="dxa" w:w="3800"/>
            <w:gridSpan w:val="1"/>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crontab -e, add the line shown</w:t>
            </w:r>
          </w:p>
        </w:tc>
        <w:tc>
          <w:tcPr>
            <w:tcW w:type="dxa" w:w="3560"/>
            <w:gridSpan w:val="1"/>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0 6 * * 1 cd /path/to/vista_ml &amp;&amp; python salesforce_push.py</w:t>
            </w:r>
          </w:p>
        </w:tc>
      </w:tr>
      <w:tr>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Heroku Scheduler</w:t>
            </w:r>
          </w:p>
        </w:tc>
        <w:tc>
          <w:tcPr>
            <w:tcW w:type="dxa" w:w="38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Heroku add-on, free tier</w:t>
            </w:r>
          </w:p>
        </w:tc>
        <w:tc>
          <w:tcPr>
            <w:tcW w:type="dxa" w:w="356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python salesforce_push.py (set to weekly)</w:t>
            </w:r>
          </w:p>
        </w:tc>
      </w:tr>
      <w:tr>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Railway.app</w:t>
            </w:r>
          </w:p>
        </w:tc>
        <w:tc>
          <w:tcPr>
            <w:tcW w:type="dxa" w:w="3800"/>
            <w:gridSpan w:val="1"/>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Cron job in dashboard</w:t>
            </w:r>
          </w:p>
        </w:tc>
        <w:tc>
          <w:tcPr>
            <w:tcW w:type="dxa" w:w="3560"/>
            <w:gridSpan w:val="1"/>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0 6 * * 1 python salesforce_push.py</w:t>
            </w:r>
          </w:p>
        </w:tc>
      </w:tr>
      <w:tr>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Windows Task Scheduler</w:t>
            </w:r>
          </w:p>
        </w:tc>
        <w:tc>
          <w:tcPr>
            <w:tcW w:type="dxa" w:w="38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Task Scheduler GUI, weekly trigger</w:t>
            </w:r>
          </w:p>
        </w:tc>
        <w:tc>
          <w:tcPr>
            <w:tcW w:type="dxa" w:w="356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python C:\vista_ml\salesforce_push.py</w:t>
            </w:r>
          </w:p>
        </w:tc>
      </w:tr>
    </w:tbl>
    <w:p>
      <w:r>
        <w:br w:type="page"/>
      </w:r>
    </w:p>
    <w:p>
      <w:pPr>
        <w:pStyle w:val="Heading1"/>
        <w:pBdr>
          <w:bottom w:val="single" w:color="2563EB" w:sz="8" w:space="4"/>
        </w:pBdr>
        <w:spacing w:after="140" w:before="360"/>
      </w:pPr>
      <w:r>
        <w:rPr>
          <w:rFonts w:ascii="Arial" w:cs="Arial" w:eastAsia="Arial" w:hAnsi="Arial"/>
          <w:b/>
          <w:bCs/>
          <w:color w:val="1B2A4A"/>
          <w:sz w:val="20"/>
          <w:szCs w:val="20"/>
        </w:rPr>
        <w:t xml:space="preserve">5. The Apex Files</w:t>
      </w:r>
    </w:p>
    <w:p>
      <w:pPr>
        <w:spacing w:after="60" w:before="60"/>
        <w:jc w:val="left"/>
      </w:pPr>
      <w:r>
        <w:rPr>
          <w:rFonts w:ascii="Arial" w:cs="Arial" w:eastAsia="Arial" w:hAnsi="Arial"/>
          <w:b w:val="false"/>
          <w:bCs w:val="false"/>
          <w:color w:val="1E293B"/>
          <w:sz w:val="20"/>
          <w:szCs w:val="20"/>
        </w:rPr>
        <w:t xml:space="preserve">Two Apex classes handle the Salesforce-native layer. Both are @InvocableMethod actions, meaning they can be called from Agentforce, Flows, or both.</w:t>
      </w:r>
    </w:p>
    <w:p>
      <w:pPr>
        <w:spacing w:after="0" w:before="80"/>
      </w:pPr>
    </w:p>
    <w:p>
      <w:pPr>
        <w:pStyle w:val="Heading2"/>
        <w:spacing w:after="100" w:before="260"/>
      </w:pPr>
      <w:r>
        <w:rPr>
          <w:rFonts w:ascii="Arial" w:cs="Arial" w:eastAsia="Arial" w:hAnsi="Arial"/>
          <w:b/>
          <w:bCs/>
          <w:color w:val="2563EB"/>
          <w:sz w:val="20"/>
          <w:szCs w:val="20"/>
        </w:rPr>
        <w:t xml:space="preserve">5.1  ChurnModelCallout.cls — on-demand single guard scoring</w:t>
      </w:r>
    </w:p>
    <w:p>
      <w:pPr>
        <w:spacing w:after="60" w:before="60"/>
        <w:jc w:val="left"/>
      </w:pPr>
      <w:r>
        <w:rPr>
          <w:rFonts w:ascii="Arial" w:cs="Arial" w:eastAsia="Arial" w:hAnsi="Arial"/>
          <w:b w:val="false"/>
          <w:bCs w:val="false"/>
          <w:color w:val="1E293B"/>
          <w:sz w:val="20"/>
          <w:szCs w:val="20"/>
        </w:rPr>
        <w:t xml:space="preserve">This action is called by Agentforce when a dispatcher or manager asks about a specific guard’s churn risk in real time. It makes one HTTP callout to FastAPI and writes the result back to the Contact.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400"/>
        <w:gridCol w:w="4260"/>
      </w:tblGrid>
      <w:tr>
        <w:tc>
          <w:tcPr>
            <w:tcW w:type="dxa" w:w="7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spacing w:after="60" w:before="60"/>
            </w:pPr>
            <w:r>
              <w:rPr>
                <w:rFonts w:ascii="Arial" w:cs="Arial" w:eastAsia="Arial" w:hAnsi="Arial"/>
                <w:b/>
                <w:bCs/>
                <w:color w:val="FFFFFF"/>
                <w:sz w:val="20"/>
                <w:szCs w:val="20"/>
              </w:rPr>
              <w:t xml:space="preserve">Step</w:t>
            </w:r>
          </w:p>
        </w:tc>
        <w:tc>
          <w:tcPr>
            <w:tcW w:type="dxa" w:w="44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spacing w:after="60" w:before="60"/>
            </w:pPr>
            <w:r>
              <w:rPr>
                <w:rFonts w:ascii="Arial" w:cs="Arial" w:eastAsia="Arial" w:hAnsi="Arial"/>
                <w:b/>
                <w:bCs/>
                <w:color w:val="FFFFFF"/>
                <w:sz w:val="20"/>
                <w:szCs w:val="20"/>
              </w:rPr>
              <w:t xml:space="preserve">What the code does</w:t>
            </w:r>
          </w:p>
        </w:tc>
        <w:tc>
          <w:tcPr>
            <w:tcW w:type="dxa" w:w="426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spacing w:after="60" w:before="60"/>
            </w:pPr>
            <w:r>
              <w:rPr>
                <w:rFonts w:ascii="Arial" w:cs="Arial" w:eastAsia="Arial" w:hAnsi="Arial"/>
                <w:b/>
                <w:bCs/>
                <w:color w:val="FFFFFF"/>
                <w:sz w:val="20"/>
                <w:szCs w:val="20"/>
              </w:rPr>
              <w:t xml:space="preserve">Apex concept used</w:t>
            </w:r>
          </w:p>
        </w:tc>
      </w:tr>
      <w:tr>
        <w:tc>
          <w:tcPr>
            <w:tcW w:type="dxa" w:w="700"/>
            <w:gridSpan w:val="1"/>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1</w:t>
            </w:r>
          </w:p>
        </w:tc>
        <w:tc>
          <w:tcPr>
            <w:tcW w:type="dxa" w:w="4400"/>
            <w:gridSpan w:val="1"/>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Receives a List&lt;Request&gt; containing the Contact ID from Agentforce</w:t>
            </w:r>
          </w:p>
        </w:tc>
        <w:tc>
          <w:tcPr>
            <w:tcW w:type="dxa" w:w="4260"/>
            <w:gridSpan w:val="1"/>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@InvocableMethod signature</w:t>
            </w:r>
          </w:p>
        </w:tc>
      </w:tr>
      <w:tr>
        <w:tc>
          <w:tcPr>
            <w:tcW w:type="dxa" w:w="7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2</w:t>
            </w:r>
          </w:p>
        </w:tc>
        <w:tc>
          <w:tcPr>
            <w:tcW w:type="dxa" w:w="44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Runs SOQL to fetch the guard’s features: tenure, call-offs, performance, hourly rate, site type</w:t>
            </w:r>
          </w:p>
        </w:tc>
        <w:tc>
          <w:tcPr>
            <w:tcW w:type="dxa" w:w="426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Cross-object SOQL with Account relationship</w:t>
            </w:r>
          </w:p>
        </w:tc>
      </w:tr>
      <w:tr>
        <w:tc>
          <w:tcPr>
            <w:tcW w:type="dxa" w:w="700"/>
            <w:gridSpan w:val="1"/>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3</w:t>
            </w:r>
          </w:p>
        </w:tc>
        <w:tc>
          <w:tcPr>
            <w:tcW w:type="dxa" w:w="4400"/>
            <w:gridSpan w:val="1"/>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Builds a Map&lt;String,Object&gt; payload and serialises to JSON</w:t>
            </w:r>
          </w:p>
        </w:tc>
        <w:tc>
          <w:tcPr>
            <w:tcW w:type="dxa" w:w="4260"/>
            <w:gridSpan w:val="1"/>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JSON.serialize()</w:t>
            </w:r>
          </w:p>
        </w:tc>
      </w:tr>
      <w:tr>
        <w:tc>
          <w:tcPr>
            <w:tcW w:type="dxa" w:w="7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4</w:t>
            </w:r>
          </w:p>
        </w:tc>
        <w:tc>
          <w:tcPr>
            <w:tcW w:type="dxa" w:w="44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Creates HttpRequest pointing to Named Credential 'Vista_ML_API/predict/churn', sends POST</w:t>
            </w:r>
          </w:p>
        </w:tc>
        <w:tc>
          <w:tcPr>
            <w:tcW w:type="dxa" w:w="426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Http, HttpRequest, HttpResponse</w:t>
            </w:r>
          </w:p>
        </w:tc>
      </w:tr>
      <w:tr>
        <w:tc>
          <w:tcPr>
            <w:tcW w:type="dxa" w:w="700"/>
            <w:gridSpan w:val="1"/>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5</w:t>
            </w:r>
          </w:p>
        </w:tc>
        <w:tc>
          <w:tcPr>
            <w:tcW w:type="dxa" w:w="4400"/>
            <w:gridSpan w:val="1"/>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Deserialises the JSON response, extracts churn_probability, churn_tier, recommended_action</w:t>
            </w:r>
          </w:p>
        </w:tc>
        <w:tc>
          <w:tcPr>
            <w:tcW w:type="dxa" w:w="4260"/>
            <w:gridSpan w:val="1"/>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JSON.deserializeUntyped()</w:t>
            </w:r>
          </w:p>
        </w:tc>
      </w:tr>
      <w:tr>
        <w:tc>
          <w:tcPr>
            <w:tcW w:type="dxa" w:w="7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6</w:t>
            </w:r>
          </w:p>
        </w:tc>
        <w:tc>
          <w:tcPr>
            <w:tcW w:type="dxa" w:w="44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Writes Turnover_Risk__c back to the Contact with a single DML update</w:t>
            </w:r>
          </w:p>
        </w:tc>
        <w:tc>
          <w:tcPr>
            <w:tcW w:type="dxa" w:w="426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update new Contact(Id=...)</w:t>
            </w:r>
          </w:p>
        </w:tc>
      </w:tr>
      <w:tr>
        <w:tc>
          <w:tcPr>
            <w:tcW w:type="dxa" w:w="700"/>
            <w:gridSpan w:val="1"/>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7</w:t>
            </w:r>
          </w:p>
        </w:tc>
        <w:tc>
          <w:tcPr>
            <w:tcW w:type="dxa" w:w="4400"/>
            <w:gridSpan w:val="1"/>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Returns List&lt;Result&gt; to Agentforce with all fields populated</w:t>
            </w:r>
          </w:p>
        </w:tc>
        <w:tc>
          <w:tcPr>
            <w:tcW w:type="dxa" w:w="4260"/>
            <w:gridSpan w:val="1"/>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@InvocableVariable return</w:t>
            </w:r>
          </w:p>
        </w:tc>
      </w:tr>
    </w:tbl>
    <w:p>
      <w:pPr>
        <w:spacing w:after="0" w:before="80"/>
      </w:pPr>
    </w:p>
    <w:p>
      <w:pPr>
        <w:pStyle w:val="Heading2"/>
        <w:spacing w:after="100" w:before="260"/>
      </w:pPr>
      <w:r>
        <w:rPr>
          <w:rFonts w:ascii="Arial" w:cs="Arial" w:eastAsia="Arial" w:hAnsi="Arial"/>
          <w:b/>
          <w:bCs/>
          <w:color w:val="2563EB"/>
          <w:sz w:val="20"/>
          <w:szCs w:val="20"/>
        </w:rPr>
        <w:t xml:space="preserve">5.2  ContractPricingEngine.cls — break-even and renewal recommendation</w:t>
      </w:r>
    </w:p>
    <w:p>
      <w:pPr>
        <w:spacing w:after="60" w:before="60"/>
        <w:jc w:val="left"/>
      </w:pPr>
      <w:r>
        <w:rPr>
          <w:rFonts w:ascii="Arial" w:cs="Arial" w:eastAsia="Arial" w:hAnsi="Arial"/>
          <w:b w:val="false"/>
          <w:bCs w:val="false"/>
          <w:color w:val="1E293B"/>
          <w:sz w:val="20"/>
          <w:szCs w:val="20"/>
        </w:rPr>
        <w:t xml:space="preserve">This action calculates the minimum viable billing rate, target rate, rate gap, OT surcharge, and contract health score for a site — then writes all six fields back to the Account record and returns talking points for the renewal conversation.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0D9488" w:sz="1"/>
              <w:left w:val="single" w:color="0D9488" w:sz="1"/>
              <w:bottom w:val="single" w:color="0D9488" w:sz="1"/>
              <w:right w:val="single" w:color="0D9488" w:sz="1"/>
            </w:tcBorders>
            <w:shd w:fill="0D9488" w:val="clear"/>
            <w:tcMar>
              <w:top w:type="dxa" w:w="90"/>
              <w:left w:type="dxa" w:w="130"/>
              <w:bottom w:type="dxa" w:w="90"/>
              <w:right w:type="dxa" w:w="130"/>
            </w:tcMar>
          </w:tcPr>
          <w:p>
            <w:pPr>
              <w:spacing w:after="60" w:before="60"/>
            </w:pPr>
            <w:r>
              <w:rPr>
                <w:rFonts w:ascii="Arial" w:cs="Arial" w:eastAsia="Arial" w:hAnsi="Arial"/>
                <w:b/>
                <w:bCs/>
                <w:color w:val="FFFFFF"/>
                <w:sz w:val="20"/>
                <w:szCs w:val="20"/>
              </w:rPr>
              <w:t xml:space="preserve">Field written to Account</w:t>
            </w:r>
          </w:p>
        </w:tc>
        <w:tc>
          <w:tcPr>
            <w:tcW w:type="dxa" w:w="3600"/>
            <w:tcBorders>
              <w:top w:val="single" w:color="0D9488" w:sz="1"/>
              <w:left w:val="single" w:color="0D9488" w:sz="1"/>
              <w:bottom w:val="single" w:color="0D9488" w:sz="1"/>
              <w:right w:val="single" w:color="0D9488" w:sz="1"/>
            </w:tcBorders>
            <w:shd w:fill="0D9488" w:val="clear"/>
            <w:tcMar>
              <w:top w:type="dxa" w:w="90"/>
              <w:left w:type="dxa" w:w="130"/>
              <w:bottom w:type="dxa" w:w="90"/>
              <w:right w:type="dxa" w:w="130"/>
            </w:tcMar>
          </w:tcPr>
          <w:p>
            <w:pPr>
              <w:spacing w:after="60" w:before="60"/>
            </w:pPr>
            <w:r>
              <w:rPr>
                <w:rFonts w:ascii="Arial" w:cs="Arial" w:eastAsia="Arial" w:hAnsi="Arial"/>
                <w:b/>
                <w:bCs/>
                <w:color w:val="FFFFFF"/>
                <w:sz w:val="20"/>
                <w:szCs w:val="20"/>
              </w:rPr>
              <w:t xml:space="preserve">Formula</w:t>
            </w:r>
          </w:p>
        </w:tc>
        <w:tc>
          <w:tcPr>
            <w:tcW w:type="dxa" w:w="3160"/>
            <w:tcBorders>
              <w:top w:val="single" w:color="0D9488" w:sz="1"/>
              <w:left w:val="single" w:color="0D9488" w:sz="1"/>
              <w:bottom w:val="single" w:color="0D9488" w:sz="1"/>
              <w:right w:val="single" w:color="0D9488" w:sz="1"/>
            </w:tcBorders>
            <w:shd w:fill="0D9488" w:val="clear"/>
            <w:tcMar>
              <w:top w:type="dxa" w:w="90"/>
              <w:left w:type="dxa" w:w="130"/>
              <w:bottom w:type="dxa" w:w="90"/>
              <w:right w:type="dxa" w:w="130"/>
            </w:tcMar>
          </w:tcPr>
          <w:p>
            <w:pPr>
              <w:spacing w:after="60" w:before="60"/>
            </w:pPr>
            <w:r>
              <w:rPr>
                <w:rFonts w:ascii="Arial" w:cs="Arial" w:eastAsia="Arial" w:hAnsi="Arial"/>
                <w:b/>
                <w:bCs/>
                <w:color w:val="FFFFFF"/>
                <w:sz w:val="20"/>
                <w:szCs w:val="20"/>
              </w:rPr>
              <w:t xml:space="preserve">Meaning</w:t>
            </w:r>
          </w:p>
        </w:tc>
      </w:tr>
      <w:tr>
        <w:tc>
          <w:tcPr>
            <w:tcW w:type="dxa" w:w="2600"/>
            <w:gridSpan w:val="1"/>
            <w:tcBorders>
              <w:top w:val="single" w:color="E2E8F0" w:sz="1"/>
              <w:left w:val="single" w:color="E2E8F0" w:sz="1"/>
              <w:bottom w:val="single" w:color="E2E8F0" w:sz="1"/>
              <w:right w:val="single" w:color="E2E8F0" w:sz="1"/>
            </w:tcBorders>
            <w:shd w:fill="CCFBF1"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Breakeven_Rate__c</w:t>
            </w:r>
          </w:p>
        </w:tc>
        <w:tc>
          <w:tcPr>
            <w:tcW w:type="dxa" w:w="3600"/>
            <w:gridSpan w:val="1"/>
            <w:tcBorders>
              <w:top w:val="single" w:color="E2E8F0" w:sz="1"/>
              <w:left w:val="single" w:color="E2E8F0" w:sz="1"/>
              <w:bottom w:val="single" w:color="E2E8F0" w:sz="1"/>
              <w:right w:val="single" w:color="E2E8F0" w:sz="1"/>
            </w:tcBorders>
            <w:shd w:fill="CCFBF1"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(Pay_Rate + $2.50 overhead) / 0.98</w:t>
            </w:r>
          </w:p>
        </w:tc>
        <w:tc>
          <w:tcPr>
            <w:tcW w:type="dxa" w:w="3160"/>
            <w:gridSpan w:val="1"/>
            <w:tcBorders>
              <w:top w:val="single" w:color="E2E8F0" w:sz="1"/>
              <w:left w:val="single" w:color="E2E8F0" w:sz="1"/>
              <w:bottom w:val="single" w:color="E2E8F0" w:sz="1"/>
              <w:right w:val="single" w:color="E2E8F0" w:sz="1"/>
            </w:tcBorders>
            <w:shd w:fill="CCFBF1"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Absolute minimum rate before the site runs at a loss</w:t>
            </w:r>
          </w:p>
        </w:tc>
      </w:tr>
      <w:tr>
        <w:tc>
          <w:tcPr>
            <w:tcW w:type="dxa" w:w="26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Target_Bill_Rate__c</w:t>
            </w:r>
          </w:p>
        </w:tc>
        <w:tc>
          <w:tcPr>
            <w:tcW w:type="dxa" w:w="36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(Pay_Rate + overhead) / (1 - Target_Margin%)</w:t>
            </w:r>
          </w:p>
        </w:tc>
        <w:tc>
          <w:tcPr>
            <w:tcW w:type="dxa" w:w="316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Rate needed to hit the leadership-set margin floor</w:t>
            </w:r>
          </w:p>
        </w:tc>
      </w:tr>
      <w:tr>
        <w:tc>
          <w:tcPr>
            <w:tcW w:type="dxa" w:w="2600"/>
            <w:gridSpan w:val="1"/>
            <w:tcBorders>
              <w:top w:val="single" w:color="E2E8F0" w:sz="1"/>
              <w:left w:val="single" w:color="E2E8F0" w:sz="1"/>
              <w:bottom w:val="single" w:color="E2E8F0" w:sz="1"/>
              <w:right w:val="single" w:color="E2E8F0" w:sz="1"/>
            </w:tcBorders>
            <w:shd w:fill="CCFBF1"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Rate_Gap__c</w:t>
            </w:r>
          </w:p>
        </w:tc>
        <w:tc>
          <w:tcPr>
            <w:tcW w:type="dxa" w:w="3600"/>
            <w:gridSpan w:val="1"/>
            <w:tcBorders>
              <w:top w:val="single" w:color="E2E8F0" w:sz="1"/>
              <w:left w:val="single" w:color="E2E8F0" w:sz="1"/>
              <w:bottom w:val="single" w:color="E2E8F0" w:sz="1"/>
              <w:right w:val="single" w:color="E2E8F0" w:sz="1"/>
            </w:tcBorders>
            <w:shd w:fill="CCFBF1"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Target_Bill_Rate - Current Bill_Rate</w:t>
            </w:r>
          </w:p>
        </w:tc>
        <w:tc>
          <w:tcPr>
            <w:tcW w:type="dxa" w:w="3160"/>
            <w:gridSpan w:val="1"/>
            <w:tcBorders>
              <w:top w:val="single" w:color="E2E8F0" w:sz="1"/>
              <w:left w:val="single" w:color="E2E8F0" w:sz="1"/>
              <w:bottom w:val="single" w:color="E2E8F0" w:sz="1"/>
              <w:right w:val="single" w:color="E2E8F0" w:sz="1"/>
            </w:tcBorders>
            <w:shd w:fill="CCFBF1"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Positive = underpriced. Negative = room to be competitive.</w:t>
            </w:r>
          </w:p>
        </w:tc>
      </w:tr>
      <w:tr>
        <w:tc>
          <w:tcPr>
            <w:tcW w:type="dxa" w:w="26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OT_Surcharge__c</w:t>
            </w:r>
          </w:p>
        </w:tc>
        <w:tc>
          <w:tcPr>
            <w:tcW w:type="dxa" w:w="36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Pay_Rate × 0.5 × (Avg_OT_Pct/100) when OT &gt; 15%</w:t>
            </w:r>
          </w:p>
        </w:tc>
        <w:tc>
          <w:tcPr>
            <w:tcW w:type="dxa" w:w="316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Unrecovered OT cost per hour to be passed through at renewal</w:t>
            </w:r>
          </w:p>
        </w:tc>
      </w:tr>
      <w:tr>
        <w:tc>
          <w:tcPr>
            <w:tcW w:type="dxa" w:w="2600"/>
            <w:gridSpan w:val="1"/>
            <w:tcBorders>
              <w:top w:val="single" w:color="E2E8F0" w:sz="1"/>
              <w:left w:val="single" w:color="E2E8F0" w:sz="1"/>
              <w:bottom w:val="single" w:color="E2E8F0" w:sz="1"/>
              <w:right w:val="single" w:color="E2E8F0" w:sz="1"/>
            </w:tcBorders>
            <w:shd w:fill="CCFBF1"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Renewal_Rec__c</w:t>
            </w:r>
          </w:p>
        </w:tc>
        <w:tc>
          <w:tcPr>
            <w:tcW w:type="dxa" w:w="3600"/>
            <w:gridSpan w:val="1"/>
            <w:tcBorders>
              <w:top w:val="single" w:color="E2E8F0" w:sz="1"/>
              <w:left w:val="single" w:color="E2E8F0" w:sz="1"/>
              <w:bottom w:val="single" w:color="E2E8F0" w:sz="1"/>
              <w:right w:val="single" w:color="E2E8F0" w:sz="1"/>
            </w:tcBorders>
            <w:shd w:fill="CCFBF1"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IF gap &gt; $2 → Increase. IF gap &lt; -$3 → Room. ELSE Hold</w:t>
            </w:r>
          </w:p>
        </w:tc>
        <w:tc>
          <w:tcPr>
            <w:tcW w:type="dxa" w:w="3160"/>
            <w:gridSpan w:val="1"/>
            <w:tcBorders>
              <w:top w:val="single" w:color="E2E8F0" w:sz="1"/>
              <w:left w:val="single" w:color="E2E8F0" w:sz="1"/>
              <w:bottom w:val="single" w:color="E2E8F0" w:sz="1"/>
              <w:right w:val="single" w:color="E2E8F0" w:sz="1"/>
            </w:tcBorders>
            <w:shd w:fill="CCFBF1"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Plain-English recommendation for account manager</w:t>
            </w:r>
          </w:p>
        </w:tc>
      </w:tr>
      <w:tr>
        <w:tc>
          <w:tcPr>
            <w:tcW w:type="dxa" w:w="26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Contract_Health_Score__c</w:t>
            </w:r>
          </w:p>
        </w:tc>
        <w:tc>
          <w:tcPr>
            <w:tcW w:type="dxa" w:w="36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60% margin score + 25% OT score + 15% call-off score</w:t>
            </w:r>
          </w:p>
        </w:tc>
        <w:tc>
          <w:tcPr>
            <w:tcW w:type="dxa" w:w="316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0–100 composite site health for the renewal conversation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D97706" w:val="clear"/>
            <w:tcMar>
              <w:top w:type="dxa" w:w="110"/>
              <w:left w:type="dxa" w:w="110"/>
              <w:bottom w:type="dxa" w:w="110"/>
              <w:right w:type="dxa" w:w="100"/>
            </w:tcMar>
          </w:tcPr>
          <w:p>
            <w:pPr>
              <w:spacing w:after="40" w:before="40"/>
              <w:jc w:val="center"/>
            </w:pPr>
            <w:r>
              <w:rPr>
                <w:rFonts w:ascii="Arial" w:cs="Arial" w:eastAsia="Arial" w:hAnsi="Arial"/>
                <w:b/>
                <w:bCs/>
                <w:color w:val="FFFFFF"/>
                <w:sz w:val="20"/>
                <w:szCs w:val="20"/>
              </w:rPr>
              <w:t xml:space="preserve">INSIGHT</w:t>
            </w:r>
          </w:p>
        </w:tc>
        <w:tc>
          <w:tcPr>
            <w:tcW w:type="dxa" w:w="9080"/>
            <w:tcBorders>
              <w:top w:val="none" w:color="FFFFFF" w:sz="0"/>
              <w:left w:val="none" w:color="FFFFFF" w:sz="0"/>
              <w:bottom w:val="none" w:color="FFFFFF" w:sz="0"/>
              <w:right w:val="none" w:color="FFFFFF" w:sz="0"/>
            </w:tcBorders>
            <w:shd w:fill="FEF3C7" w:val="clear"/>
            <w:tcMar>
              <w:top w:type="dxa" w:w="110"/>
              <w:left w:type="dxa" w:w="150"/>
              <w:bottom w:type="dxa" w:w="110"/>
              <w:right w:type="dxa" w:w="110"/>
            </w:tcMar>
          </w:tcPr>
          <w:p>
            <w:pPr>
              <w:spacing w:after="40" w:before="40"/>
            </w:pPr>
            <w:r>
              <w:rPr>
                <w:rFonts w:ascii="Arial" w:cs="Arial" w:eastAsia="Arial" w:hAnsi="Arial"/>
                <w:b w:val="false"/>
                <w:bCs w:val="false"/>
                <w:color w:val="1B2A4A"/>
                <w:sz w:val="20"/>
                <w:szCs w:val="20"/>
              </w:rPr>
              <w:t xml:space="preserve">Delta Hospital sites have a break-even rate of ~$29.08/hr and a target rate of ~$37.35/hr at the current $26 pay rate. Their current bill rate of $35/hr is $2.35 below target. The engine will flag these as 'Increase Rate' at every renewal run.</w:t>
            </w:r>
          </w:p>
        </w:tc>
      </w:tr>
    </w:tbl>
    <w:p>
      <w:r>
        <w:br w:type="page"/>
      </w:r>
    </w:p>
    <w:p>
      <w:pPr>
        <w:pStyle w:val="Heading1"/>
        <w:pBdr>
          <w:bottom w:val="single" w:color="2563EB" w:sz="8" w:space="4"/>
        </w:pBdr>
        <w:spacing w:after="140" w:before="360"/>
      </w:pPr>
      <w:r>
        <w:rPr>
          <w:rFonts w:ascii="Arial" w:cs="Arial" w:eastAsia="Arial" w:hAnsi="Arial"/>
          <w:b/>
          <w:bCs/>
          <w:color w:val="1B2A4A"/>
          <w:sz w:val="20"/>
          <w:szCs w:val="20"/>
        </w:rPr>
        <w:t xml:space="preserve">6. New Salesforce Fields to Create</w:t>
      </w:r>
    </w:p>
    <w:p>
      <w:pPr>
        <w:spacing w:after="60" w:before="60"/>
        <w:jc w:val="left"/>
      </w:pPr>
      <w:r>
        <w:rPr>
          <w:rFonts w:ascii="Arial" w:cs="Arial" w:eastAsia="Arial" w:hAnsi="Arial"/>
          <w:b w:val="false"/>
          <w:bCs w:val="false"/>
          <w:color w:val="1E293B"/>
          <w:sz w:val="20"/>
          <w:szCs w:val="20"/>
        </w:rPr>
        <w:t xml:space="preserve">Before deploying the Apex classes, create these fields in Object Manager. ContractPricingEngine.cls writes to Account fields that don’t exist yet, and ChurnModelCallout.cls writes to Contact fields that may already exist from Phase 1.</w:t>
      </w:r>
    </w:p>
    <w:p>
      <w:pPr>
        <w:spacing w:after="0" w:before="80"/>
      </w:pPr>
    </w:p>
    <w:p>
      <w:pPr>
        <w:pStyle w:val="Heading2"/>
        <w:spacing w:after="100" w:before="260"/>
      </w:pPr>
      <w:r>
        <w:rPr>
          <w:rFonts w:ascii="Arial" w:cs="Arial" w:eastAsia="Arial" w:hAnsi="Arial"/>
          <w:b/>
          <w:bCs/>
          <w:color w:val="2563EB"/>
          <w:sz w:val="20"/>
          <w:szCs w:val="20"/>
        </w:rPr>
        <w:t xml:space="preserve">6.1  Account object — pricing intelligence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600"/>
        <w:gridCol w:w="2760"/>
      </w:tblGrid>
      <w:tr>
        <w:tc>
          <w:tcPr>
            <w:tcW w:type="dxa" w:w="2200"/>
            <w:tcBorders>
              <w:top w:val="single" w:color="0D9488" w:sz="1"/>
              <w:left w:val="single" w:color="0D9488" w:sz="1"/>
              <w:bottom w:val="single" w:color="0D9488" w:sz="1"/>
              <w:right w:val="single" w:color="0D9488" w:sz="1"/>
            </w:tcBorders>
            <w:shd w:fill="0D9488" w:val="clear"/>
            <w:tcMar>
              <w:top w:type="dxa" w:w="90"/>
              <w:left w:type="dxa" w:w="130"/>
              <w:bottom w:type="dxa" w:w="90"/>
              <w:right w:type="dxa" w:w="130"/>
            </w:tcMar>
          </w:tcPr>
          <w:p>
            <w:pPr>
              <w:spacing w:after="60" w:before="60"/>
            </w:pPr>
            <w:r>
              <w:rPr>
                <w:rFonts w:ascii="Arial" w:cs="Arial" w:eastAsia="Arial" w:hAnsi="Arial"/>
                <w:b/>
                <w:bCs/>
                <w:color w:val="FFFFFF"/>
                <w:sz w:val="20"/>
                <w:szCs w:val="20"/>
              </w:rPr>
              <w:t xml:space="preserve">Field Label</w:t>
            </w:r>
          </w:p>
        </w:tc>
        <w:tc>
          <w:tcPr>
            <w:tcW w:type="dxa" w:w="2800"/>
            <w:tcBorders>
              <w:top w:val="single" w:color="0D9488" w:sz="1"/>
              <w:left w:val="single" w:color="0D9488" w:sz="1"/>
              <w:bottom w:val="single" w:color="0D9488" w:sz="1"/>
              <w:right w:val="single" w:color="0D9488" w:sz="1"/>
            </w:tcBorders>
            <w:shd w:fill="0D9488" w:val="clear"/>
            <w:tcMar>
              <w:top w:type="dxa" w:w="90"/>
              <w:left w:type="dxa" w:w="130"/>
              <w:bottom w:type="dxa" w:w="90"/>
              <w:right w:type="dxa" w:w="130"/>
            </w:tcMar>
          </w:tcPr>
          <w:p>
            <w:pPr>
              <w:spacing w:after="60" w:before="60"/>
            </w:pPr>
            <w:r>
              <w:rPr>
                <w:rFonts w:ascii="Arial" w:cs="Arial" w:eastAsia="Arial" w:hAnsi="Arial"/>
                <w:b/>
                <w:bCs/>
                <w:color w:val="FFFFFF"/>
                <w:sz w:val="20"/>
                <w:szCs w:val="20"/>
              </w:rPr>
              <w:t xml:space="preserve">API Name</w:t>
            </w:r>
          </w:p>
        </w:tc>
        <w:tc>
          <w:tcPr>
            <w:tcW w:type="dxa" w:w="1600"/>
            <w:tcBorders>
              <w:top w:val="single" w:color="0D9488" w:sz="1"/>
              <w:left w:val="single" w:color="0D9488" w:sz="1"/>
              <w:bottom w:val="single" w:color="0D9488" w:sz="1"/>
              <w:right w:val="single" w:color="0D9488" w:sz="1"/>
            </w:tcBorders>
            <w:shd w:fill="0D9488" w:val="clear"/>
            <w:tcMar>
              <w:top w:type="dxa" w:w="90"/>
              <w:left w:type="dxa" w:w="130"/>
              <w:bottom w:type="dxa" w:w="90"/>
              <w:right w:type="dxa" w:w="130"/>
            </w:tcMar>
          </w:tcPr>
          <w:p>
            <w:pPr>
              <w:spacing w:after="60" w:before="60"/>
            </w:pPr>
            <w:r>
              <w:rPr>
                <w:rFonts w:ascii="Arial" w:cs="Arial" w:eastAsia="Arial" w:hAnsi="Arial"/>
                <w:b/>
                <w:bCs/>
                <w:color w:val="FFFFFF"/>
                <w:sz w:val="20"/>
                <w:szCs w:val="20"/>
              </w:rPr>
              <w:t xml:space="preserve">Type</w:t>
            </w:r>
          </w:p>
        </w:tc>
        <w:tc>
          <w:tcPr>
            <w:tcW w:type="dxa" w:w="2760"/>
            <w:tcBorders>
              <w:top w:val="single" w:color="0D9488" w:sz="1"/>
              <w:left w:val="single" w:color="0D9488" w:sz="1"/>
              <w:bottom w:val="single" w:color="0D9488" w:sz="1"/>
              <w:right w:val="single" w:color="0D9488" w:sz="1"/>
            </w:tcBorders>
            <w:shd w:fill="0D9488" w:val="clear"/>
            <w:tcMar>
              <w:top w:type="dxa" w:w="90"/>
              <w:left w:type="dxa" w:w="130"/>
              <w:bottom w:type="dxa" w:w="90"/>
              <w:right w:type="dxa" w:w="130"/>
            </w:tcMar>
          </w:tcPr>
          <w:p>
            <w:pPr>
              <w:spacing w:after="60" w:before="60"/>
            </w:pPr>
            <w:r>
              <w:rPr>
                <w:rFonts w:ascii="Arial" w:cs="Arial" w:eastAsia="Arial" w:hAnsi="Arial"/>
                <w:b/>
                <w:bCs/>
                <w:color w:val="FFFFFF"/>
                <w:sz w:val="20"/>
                <w:szCs w:val="20"/>
              </w:rPr>
              <w:t xml:space="preserve">Notes</w:t>
            </w:r>
          </w:p>
        </w:tc>
      </w:tr>
      <w:tr>
        <w:tc>
          <w:tcPr>
            <w:tcW w:type="dxa" w:w="2200"/>
            <w:gridSpan w:val="1"/>
            <w:tcBorders>
              <w:top w:val="single" w:color="E2E8F0" w:sz="1"/>
              <w:left w:val="single" w:color="E2E8F0" w:sz="1"/>
              <w:bottom w:val="single" w:color="E2E8F0" w:sz="1"/>
              <w:right w:val="single" w:color="E2E8F0" w:sz="1"/>
            </w:tcBorders>
            <w:shd w:fill="CCFBF1"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Break-Even Rate</w:t>
            </w:r>
          </w:p>
        </w:tc>
        <w:tc>
          <w:tcPr>
            <w:tcW w:type="dxa" w:w="2800"/>
            <w:gridSpan w:val="1"/>
            <w:tcBorders>
              <w:top w:val="single" w:color="E2E8F0" w:sz="1"/>
              <w:left w:val="single" w:color="E2E8F0" w:sz="1"/>
              <w:bottom w:val="single" w:color="E2E8F0" w:sz="1"/>
              <w:right w:val="single" w:color="E2E8F0" w:sz="1"/>
            </w:tcBorders>
            <w:shd w:fill="CCFBF1"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Breakeven_Rate__c</w:t>
            </w:r>
          </w:p>
        </w:tc>
        <w:tc>
          <w:tcPr>
            <w:tcW w:type="dxa" w:w="1600"/>
            <w:gridSpan w:val="1"/>
            <w:tcBorders>
              <w:top w:val="single" w:color="E2E8F0" w:sz="1"/>
              <w:left w:val="single" w:color="E2E8F0" w:sz="1"/>
              <w:bottom w:val="single" w:color="E2E8F0" w:sz="1"/>
              <w:right w:val="single" w:color="E2E8F0" w:sz="1"/>
            </w:tcBorders>
            <w:shd w:fill="CCFBF1"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Currency(8,2)</w:t>
            </w:r>
          </w:p>
        </w:tc>
        <w:tc>
          <w:tcPr>
            <w:tcW w:type="dxa" w:w="2760"/>
            <w:gridSpan w:val="1"/>
            <w:tcBorders>
              <w:top w:val="single" w:color="E2E8F0" w:sz="1"/>
              <w:left w:val="single" w:color="E2E8F0" w:sz="1"/>
              <w:bottom w:val="single" w:color="E2E8F0" w:sz="1"/>
              <w:right w:val="single" w:color="E2E8F0" w:sz="1"/>
            </w:tcBorders>
            <w:shd w:fill="CCFBF1"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Minimum rate to avoid loss — written by ContractPricingEngine</w:t>
            </w:r>
          </w:p>
        </w:tc>
      </w:tr>
      <w:tr>
        <w:tc>
          <w:tcPr>
            <w:tcW w:type="dxa" w:w="22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Target Bill Rate</w:t>
            </w:r>
          </w:p>
        </w:tc>
        <w:tc>
          <w:tcPr>
            <w:tcW w:type="dxa" w:w="28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Target_Bill_Rate__c</w:t>
            </w:r>
          </w:p>
        </w:tc>
        <w:tc>
          <w:tcPr>
            <w:tcW w:type="dxa" w:w="16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Currency(8,2)</w:t>
            </w:r>
          </w:p>
        </w:tc>
        <w:tc>
          <w:tcPr>
            <w:tcW w:type="dxa" w:w="276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Rate needed to hit Target_Margin% — written by engine</w:t>
            </w:r>
          </w:p>
        </w:tc>
      </w:tr>
      <w:tr>
        <w:tc>
          <w:tcPr>
            <w:tcW w:type="dxa" w:w="2200"/>
            <w:gridSpan w:val="1"/>
            <w:tcBorders>
              <w:top w:val="single" w:color="E2E8F0" w:sz="1"/>
              <w:left w:val="single" w:color="E2E8F0" w:sz="1"/>
              <w:bottom w:val="single" w:color="E2E8F0" w:sz="1"/>
              <w:right w:val="single" w:color="E2E8F0" w:sz="1"/>
            </w:tcBorders>
            <w:shd w:fill="CCFBF1"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Rate Gap</w:t>
            </w:r>
          </w:p>
        </w:tc>
        <w:tc>
          <w:tcPr>
            <w:tcW w:type="dxa" w:w="2800"/>
            <w:gridSpan w:val="1"/>
            <w:tcBorders>
              <w:top w:val="single" w:color="E2E8F0" w:sz="1"/>
              <w:left w:val="single" w:color="E2E8F0" w:sz="1"/>
              <w:bottom w:val="single" w:color="E2E8F0" w:sz="1"/>
              <w:right w:val="single" w:color="E2E8F0" w:sz="1"/>
            </w:tcBorders>
            <w:shd w:fill="CCFBF1"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Rate_Gap__c</w:t>
            </w:r>
          </w:p>
        </w:tc>
        <w:tc>
          <w:tcPr>
            <w:tcW w:type="dxa" w:w="1600"/>
            <w:gridSpan w:val="1"/>
            <w:tcBorders>
              <w:top w:val="single" w:color="E2E8F0" w:sz="1"/>
              <w:left w:val="single" w:color="E2E8F0" w:sz="1"/>
              <w:bottom w:val="single" w:color="E2E8F0" w:sz="1"/>
              <w:right w:val="single" w:color="E2E8F0" w:sz="1"/>
            </w:tcBorders>
            <w:shd w:fill="CCFBF1"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Currency(8,2)</w:t>
            </w:r>
          </w:p>
        </w:tc>
        <w:tc>
          <w:tcPr>
            <w:tcW w:type="dxa" w:w="2760"/>
            <w:gridSpan w:val="1"/>
            <w:tcBorders>
              <w:top w:val="single" w:color="E2E8F0" w:sz="1"/>
              <w:left w:val="single" w:color="E2E8F0" w:sz="1"/>
              <w:bottom w:val="single" w:color="E2E8F0" w:sz="1"/>
              <w:right w:val="single" w:color="E2E8F0" w:sz="1"/>
            </w:tcBorders>
            <w:shd w:fill="CCFBF1"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Target minus Current. Positive = underpriced. Can be negative.</w:t>
            </w:r>
          </w:p>
        </w:tc>
      </w:tr>
      <w:tr>
        <w:tc>
          <w:tcPr>
            <w:tcW w:type="dxa" w:w="22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OT Surcharge</w:t>
            </w:r>
          </w:p>
        </w:tc>
        <w:tc>
          <w:tcPr>
            <w:tcW w:type="dxa" w:w="28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OT_Surcharge__c</w:t>
            </w:r>
          </w:p>
        </w:tc>
        <w:tc>
          <w:tcPr>
            <w:tcW w:type="dxa" w:w="16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Currency(8,2)</w:t>
            </w:r>
          </w:p>
        </w:tc>
        <w:tc>
          <w:tcPr>
            <w:tcW w:type="dxa" w:w="276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Recommended per-hour surcharge when OT &gt; 15%</w:t>
            </w:r>
          </w:p>
        </w:tc>
      </w:tr>
      <w:tr>
        <w:tc>
          <w:tcPr>
            <w:tcW w:type="dxa" w:w="2200"/>
            <w:gridSpan w:val="1"/>
            <w:tcBorders>
              <w:top w:val="single" w:color="E2E8F0" w:sz="1"/>
              <w:left w:val="single" w:color="E2E8F0" w:sz="1"/>
              <w:bottom w:val="single" w:color="E2E8F0" w:sz="1"/>
              <w:right w:val="single" w:color="E2E8F0" w:sz="1"/>
            </w:tcBorders>
            <w:shd w:fill="CCFBF1"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Renewal Recommendation</w:t>
            </w:r>
          </w:p>
        </w:tc>
        <w:tc>
          <w:tcPr>
            <w:tcW w:type="dxa" w:w="2800"/>
            <w:gridSpan w:val="1"/>
            <w:tcBorders>
              <w:top w:val="single" w:color="E2E8F0" w:sz="1"/>
              <w:left w:val="single" w:color="E2E8F0" w:sz="1"/>
              <w:bottom w:val="single" w:color="E2E8F0" w:sz="1"/>
              <w:right w:val="single" w:color="E2E8F0" w:sz="1"/>
            </w:tcBorders>
            <w:shd w:fill="CCFBF1"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Renewal_Rec__c</w:t>
            </w:r>
          </w:p>
        </w:tc>
        <w:tc>
          <w:tcPr>
            <w:tcW w:type="dxa" w:w="1600"/>
            <w:gridSpan w:val="1"/>
            <w:tcBorders>
              <w:top w:val="single" w:color="E2E8F0" w:sz="1"/>
              <w:left w:val="single" w:color="E2E8F0" w:sz="1"/>
              <w:bottom w:val="single" w:color="E2E8F0" w:sz="1"/>
              <w:right w:val="single" w:color="E2E8F0" w:sz="1"/>
            </w:tcBorders>
            <w:shd w:fill="CCFBF1"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Picklist</w:t>
            </w:r>
          </w:p>
        </w:tc>
        <w:tc>
          <w:tcPr>
            <w:tcW w:type="dxa" w:w="2760"/>
            <w:gridSpan w:val="1"/>
            <w:tcBorders>
              <w:top w:val="single" w:color="E2E8F0" w:sz="1"/>
              <w:left w:val="single" w:color="E2E8F0" w:sz="1"/>
              <w:bottom w:val="single" w:color="E2E8F0" w:sz="1"/>
              <w:right w:val="single" w:color="E2E8F0" w:sz="1"/>
            </w:tcBorders>
            <w:shd w:fill="CCFBF1"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Values: Increase Rate / Hold / Competitive Room</w:t>
            </w:r>
          </w:p>
        </w:tc>
      </w:tr>
      <w:tr>
        <w:tc>
          <w:tcPr>
            <w:tcW w:type="dxa" w:w="22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Contract Health Score</w:t>
            </w:r>
          </w:p>
        </w:tc>
        <w:tc>
          <w:tcPr>
            <w:tcW w:type="dxa" w:w="28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Contract_Health_Score__c</w:t>
            </w:r>
          </w:p>
        </w:tc>
        <w:tc>
          <w:tcPr>
            <w:tcW w:type="dxa" w:w="16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Number(3,0)</w:t>
            </w:r>
          </w:p>
        </w:tc>
        <w:tc>
          <w:tcPr>
            <w:tcW w:type="dxa" w:w="276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0–100 composite score. Add to Account record page.</w:t>
            </w:r>
          </w:p>
        </w:tc>
      </w:tr>
      <w:tr>
        <w:tc>
          <w:tcPr>
            <w:tcW w:type="dxa" w:w="2200"/>
            <w:gridSpan w:val="1"/>
            <w:tcBorders>
              <w:top w:val="single" w:color="E2E8F0" w:sz="1"/>
              <w:left w:val="single" w:color="E2E8F0" w:sz="1"/>
              <w:bottom w:val="single" w:color="E2E8F0" w:sz="1"/>
              <w:right w:val="single" w:color="E2E8F0" w:sz="1"/>
            </w:tcBorders>
            <w:shd w:fill="CCFBF1"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Days to Renewal</w:t>
            </w:r>
          </w:p>
        </w:tc>
        <w:tc>
          <w:tcPr>
            <w:tcW w:type="dxa" w:w="2800"/>
            <w:gridSpan w:val="1"/>
            <w:tcBorders>
              <w:top w:val="single" w:color="E2E8F0" w:sz="1"/>
              <w:left w:val="single" w:color="E2E8F0" w:sz="1"/>
              <w:bottom w:val="single" w:color="E2E8F0" w:sz="1"/>
              <w:right w:val="single" w:color="E2E8F0" w:sz="1"/>
            </w:tcBorders>
            <w:shd w:fill="CCFBF1"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Days_To_Renewal__c</w:t>
            </w:r>
          </w:p>
        </w:tc>
        <w:tc>
          <w:tcPr>
            <w:tcW w:type="dxa" w:w="1600"/>
            <w:gridSpan w:val="1"/>
            <w:tcBorders>
              <w:top w:val="single" w:color="E2E8F0" w:sz="1"/>
              <w:left w:val="single" w:color="E2E8F0" w:sz="1"/>
              <w:bottom w:val="single" w:color="E2E8F0" w:sz="1"/>
              <w:right w:val="single" w:color="E2E8F0" w:sz="1"/>
            </w:tcBorders>
            <w:shd w:fill="CCFBF1"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Formula (Number)</w:t>
            </w:r>
          </w:p>
        </w:tc>
        <w:tc>
          <w:tcPr>
            <w:tcW w:type="dxa" w:w="2760"/>
            <w:gridSpan w:val="1"/>
            <w:tcBorders>
              <w:top w:val="single" w:color="E2E8F0" w:sz="1"/>
              <w:left w:val="single" w:color="E2E8F0" w:sz="1"/>
              <w:bottom w:val="single" w:color="E2E8F0" w:sz="1"/>
              <w:right w:val="single" w:color="E2E8F0" w:sz="1"/>
            </w:tcBorders>
            <w:shd w:fill="CCFBF1"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Contract_End__c - TODAY(). Needed by renewal Flow.</w:t>
            </w:r>
          </w:p>
        </w:tc>
      </w:tr>
    </w:tbl>
    <w:p>
      <w:pPr>
        <w:spacing w:after="0" w:before="80"/>
      </w:pPr>
    </w:p>
    <w:p>
      <w:pPr>
        <w:pStyle w:val="Heading2"/>
        <w:spacing w:after="100" w:before="260"/>
      </w:pPr>
      <w:r>
        <w:rPr>
          <w:rFonts w:ascii="Arial" w:cs="Arial" w:eastAsia="Arial" w:hAnsi="Arial"/>
          <w:b/>
          <w:bCs/>
          <w:color w:val="2563EB"/>
          <w:sz w:val="20"/>
          <w:szCs w:val="20"/>
        </w:rPr>
        <w:t xml:space="preserve">6.2  Contact object — churn scoring fields (if not yet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600"/>
        <w:gridCol w:w="2760"/>
      </w:tblGrid>
      <w:tr>
        <w:tc>
          <w:tcPr>
            <w:tcW w:type="dxa" w:w="2200"/>
            <w:tcBorders>
              <w:top w:val="single" w:color="7C3AED" w:sz="1"/>
              <w:left w:val="single" w:color="7C3AED" w:sz="1"/>
              <w:bottom w:val="single" w:color="7C3AED" w:sz="1"/>
              <w:right w:val="single" w:color="7C3AED" w:sz="1"/>
            </w:tcBorders>
            <w:shd w:fill="7C3AED" w:val="clear"/>
            <w:tcMar>
              <w:top w:type="dxa" w:w="90"/>
              <w:left w:type="dxa" w:w="130"/>
              <w:bottom w:type="dxa" w:w="90"/>
              <w:right w:type="dxa" w:w="130"/>
            </w:tcMar>
          </w:tcPr>
          <w:p>
            <w:pPr>
              <w:spacing w:after="60" w:before="60"/>
            </w:pPr>
            <w:r>
              <w:rPr>
                <w:rFonts w:ascii="Arial" w:cs="Arial" w:eastAsia="Arial" w:hAnsi="Arial"/>
                <w:b/>
                <w:bCs/>
                <w:color w:val="FFFFFF"/>
                <w:sz w:val="20"/>
                <w:szCs w:val="20"/>
              </w:rPr>
              <w:t xml:space="preserve">Field Label</w:t>
            </w:r>
          </w:p>
        </w:tc>
        <w:tc>
          <w:tcPr>
            <w:tcW w:type="dxa" w:w="2800"/>
            <w:tcBorders>
              <w:top w:val="single" w:color="7C3AED" w:sz="1"/>
              <w:left w:val="single" w:color="7C3AED" w:sz="1"/>
              <w:bottom w:val="single" w:color="7C3AED" w:sz="1"/>
              <w:right w:val="single" w:color="7C3AED" w:sz="1"/>
            </w:tcBorders>
            <w:shd w:fill="7C3AED" w:val="clear"/>
            <w:tcMar>
              <w:top w:type="dxa" w:w="90"/>
              <w:left w:type="dxa" w:w="130"/>
              <w:bottom w:type="dxa" w:w="90"/>
              <w:right w:type="dxa" w:w="130"/>
            </w:tcMar>
          </w:tcPr>
          <w:p>
            <w:pPr>
              <w:spacing w:after="60" w:before="60"/>
            </w:pPr>
            <w:r>
              <w:rPr>
                <w:rFonts w:ascii="Arial" w:cs="Arial" w:eastAsia="Arial" w:hAnsi="Arial"/>
                <w:b/>
                <w:bCs/>
                <w:color w:val="FFFFFF"/>
                <w:sz w:val="20"/>
                <w:szCs w:val="20"/>
              </w:rPr>
              <w:t xml:space="preserve">API Name</w:t>
            </w:r>
          </w:p>
        </w:tc>
        <w:tc>
          <w:tcPr>
            <w:tcW w:type="dxa" w:w="1600"/>
            <w:tcBorders>
              <w:top w:val="single" w:color="7C3AED" w:sz="1"/>
              <w:left w:val="single" w:color="7C3AED" w:sz="1"/>
              <w:bottom w:val="single" w:color="7C3AED" w:sz="1"/>
              <w:right w:val="single" w:color="7C3AED" w:sz="1"/>
            </w:tcBorders>
            <w:shd w:fill="7C3AED" w:val="clear"/>
            <w:tcMar>
              <w:top w:type="dxa" w:w="90"/>
              <w:left w:type="dxa" w:w="130"/>
              <w:bottom w:type="dxa" w:w="90"/>
              <w:right w:type="dxa" w:w="130"/>
            </w:tcMar>
          </w:tcPr>
          <w:p>
            <w:pPr>
              <w:spacing w:after="60" w:before="60"/>
            </w:pPr>
            <w:r>
              <w:rPr>
                <w:rFonts w:ascii="Arial" w:cs="Arial" w:eastAsia="Arial" w:hAnsi="Arial"/>
                <w:b/>
                <w:bCs/>
                <w:color w:val="FFFFFF"/>
                <w:sz w:val="20"/>
                <w:szCs w:val="20"/>
              </w:rPr>
              <w:t xml:space="preserve">Type</w:t>
            </w:r>
          </w:p>
        </w:tc>
        <w:tc>
          <w:tcPr>
            <w:tcW w:type="dxa" w:w="2760"/>
            <w:tcBorders>
              <w:top w:val="single" w:color="7C3AED" w:sz="1"/>
              <w:left w:val="single" w:color="7C3AED" w:sz="1"/>
              <w:bottom w:val="single" w:color="7C3AED" w:sz="1"/>
              <w:right w:val="single" w:color="7C3AED" w:sz="1"/>
            </w:tcBorders>
            <w:shd w:fill="7C3AED" w:val="clear"/>
            <w:tcMar>
              <w:top w:type="dxa" w:w="90"/>
              <w:left w:type="dxa" w:w="130"/>
              <w:bottom w:type="dxa" w:w="90"/>
              <w:right w:type="dxa" w:w="130"/>
            </w:tcMar>
          </w:tcPr>
          <w:p>
            <w:pPr>
              <w:spacing w:after="60" w:before="60"/>
            </w:pPr>
            <w:r>
              <w:rPr>
                <w:rFonts w:ascii="Arial" w:cs="Arial" w:eastAsia="Arial" w:hAnsi="Arial"/>
                <w:b/>
                <w:bCs/>
                <w:color w:val="FFFFFF"/>
                <w:sz w:val="20"/>
                <w:szCs w:val="20"/>
              </w:rPr>
              <w:t xml:space="preserve">Notes</w:t>
            </w:r>
          </w:p>
        </w:tc>
      </w:tr>
      <w:tr>
        <w:tc>
          <w:tcPr>
            <w:tcW w:type="dxa" w:w="2200"/>
            <w:gridSpan w:val="1"/>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Turnover Risk</w:t>
            </w:r>
          </w:p>
        </w:tc>
        <w:tc>
          <w:tcPr>
            <w:tcW w:type="dxa" w:w="2800"/>
            <w:gridSpan w:val="1"/>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Turnover_Risk__c</w:t>
            </w:r>
          </w:p>
        </w:tc>
        <w:tc>
          <w:tcPr>
            <w:tcW w:type="dxa" w:w="1600"/>
            <w:gridSpan w:val="1"/>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Picklist</w:t>
            </w:r>
          </w:p>
        </w:tc>
        <w:tc>
          <w:tcPr>
            <w:tcW w:type="dxa" w:w="2760"/>
            <w:gridSpan w:val="1"/>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High / Medium / Low. Written weekly by push script + on-demand by Apex.</w:t>
            </w:r>
          </w:p>
        </w:tc>
      </w:tr>
      <w:tr>
        <w:tc>
          <w:tcPr>
            <w:tcW w:type="dxa" w:w="22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Churn Score</w:t>
            </w:r>
          </w:p>
        </w:tc>
        <w:tc>
          <w:tcPr>
            <w:tcW w:type="dxa" w:w="28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Churn_Score__c</w:t>
            </w:r>
          </w:p>
        </w:tc>
        <w:tc>
          <w:tcPr>
            <w:tcW w:type="dxa" w:w="16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Percent(5,2)</w:t>
            </w:r>
          </w:p>
        </w:tc>
        <w:tc>
          <w:tcPr>
            <w:tcW w:type="dxa" w:w="276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Optional: store raw 0–1 probability for trend tracking over time</w:t>
            </w:r>
          </w:p>
        </w:tc>
      </w:tr>
    </w:tbl>
    <w:p>
      <w:r>
        <w:br w:type="page"/>
      </w:r>
    </w:p>
    <w:p>
      <w:pPr>
        <w:pStyle w:val="Heading1"/>
        <w:pBdr>
          <w:bottom w:val="single" w:color="2563EB" w:sz="8" w:space="4"/>
        </w:pBdr>
        <w:spacing w:after="140" w:before="360"/>
      </w:pPr>
      <w:r>
        <w:rPr>
          <w:rFonts w:ascii="Arial" w:cs="Arial" w:eastAsia="Arial" w:hAnsi="Arial"/>
          <w:b/>
          <w:bCs/>
          <w:color w:val="1B2A4A"/>
          <w:sz w:val="20"/>
          <w:szCs w:val="20"/>
        </w:rPr>
        <w:t xml:space="preserve">7. The Renewal Alert Flow</w:t>
      </w:r>
    </w:p>
    <w:p>
      <w:pPr>
        <w:spacing w:after="60" w:before="60"/>
        <w:jc w:val="left"/>
      </w:pPr>
      <w:r>
        <w:rPr>
          <w:rFonts w:ascii="Arial" w:cs="Arial" w:eastAsia="Arial" w:hAnsi="Arial"/>
          <w:b w:val="false"/>
          <w:bCs w:val="false"/>
          <w:color w:val="1E293B"/>
          <w:sz w:val="20"/>
          <w:szCs w:val="20"/>
        </w:rPr>
        <w:t xml:space="preserve">Build this in Setup → Flows → New Flow → Scheduled Flow. It runs daily at 7 AM, finds contracts expiring in 90 or 30 days, calls ContractPricingEngine.cls for pricing data, and posts a Chatter note on the Account plus creates a Task for the account manager.</w:t>
      </w:r>
    </w:p>
    <w:p>
      <w:pPr>
        <w:spacing w:after="0" w:before="80"/>
      </w:pPr>
    </w:p>
    <w:p>
      <w:pPr>
        <w:pStyle w:val="Heading2"/>
        <w:spacing w:after="100" w:before="260"/>
      </w:pPr>
      <w:r>
        <w:rPr>
          <w:rFonts w:ascii="Arial" w:cs="Arial" w:eastAsia="Arial" w:hAnsi="Arial"/>
          <w:b/>
          <w:bCs/>
          <w:color w:val="2563EB"/>
          <w:sz w:val="20"/>
          <w:szCs w:val="20"/>
        </w:rPr>
        <w:t xml:space="preserve">7.1  Flow elements in order</w:t>
      </w:r>
    </w:p>
    <w:p>
      <w:pPr>
        <w:pStyle w:val="ListParagraph"/>
        <w:numPr>
          <w:ilvl w:val="0"/>
          <w:numId w:val="3"/>
        </w:numPr>
        <w:spacing w:after="40" w:before="40"/>
      </w:pPr>
      <w:r>
        <w:rPr>
          <w:rFonts w:ascii="Arial" w:cs="Arial" w:eastAsia="Arial" w:hAnsi="Arial"/>
          <w:b w:val="false"/>
          <w:bCs w:val="false"/>
          <w:color w:val="1E293B"/>
          <w:sz w:val="20"/>
          <w:szCs w:val="20"/>
        </w:rPr>
        <w:t xml:space="preserve">START: Scheduled Flow — Daily, 7:00 AM, Start Date: today.</w:t>
      </w:r>
    </w:p>
    <w:p>
      <w:pPr>
        <w:pStyle w:val="ListParagraph"/>
        <w:numPr>
          <w:ilvl w:val="0"/>
          <w:numId w:val="3"/>
        </w:numPr>
        <w:spacing w:after="40" w:before="40"/>
      </w:pPr>
      <w:r>
        <w:rPr>
          <w:rFonts w:ascii="Arial" w:cs="Arial" w:eastAsia="Arial" w:hAnsi="Arial"/>
          <w:b w:val="false"/>
          <w:bCs w:val="false"/>
          <w:color w:val="1E293B"/>
          <w:sz w:val="20"/>
          <w:szCs w:val="20"/>
        </w:rPr>
        <w:t xml:space="preserve">GET RECORDS: Query Account WHERE Days_To_Renewal__c = 90 OR Days_To_Renewal__c = 30 AND Active__c = true. Store as Account collection.</w:t>
      </w:r>
    </w:p>
    <w:p>
      <w:pPr>
        <w:pStyle w:val="ListParagraph"/>
        <w:numPr>
          <w:ilvl w:val="0"/>
          <w:numId w:val="3"/>
        </w:numPr>
        <w:spacing w:after="40" w:before="40"/>
      </w:pPr>
      <w:r>
        <w:rPr>
          <w:rFonts w:ascii="Arial" w:cs="Arial" w:eastAsia="Arial" w:hAnsi="Arial"/>
          <w:b w:val="false"/>
          <w:bCs w:val="false"/>
          <w:color w:val="1E293B"/>
          <w:sz w:val="20"/>
          <w:szCs w:val="20"/>
        </w:rPr>
        <w:t xml:space="preserve">LOOP: For each Account in the collection, enter the loop body.</w:t>
      </w:r>
    </w:p>
    <w:p>
      <w:pPr>
        <w:pStyle w:val="ListParagraph"/>
        <w:numPr>
          <w:ilvl w:val="0"/>
          <w:numId w:val="3"/>
        </w:numPr>
        <w:spacing w:after="40" w:before="40"/>
      </w:pPr>
      <w:r>
        <w:rPr>
          <w:rFonts w:ascii="Arial" w:cs="Arial" w:eastAsia="Arial" w:hAnsi="Arial"/>
          <w:b w:val="false"/>
          <w:bCs w:val="false"/>
          <w:color w:val="1E293B"/>
          <w:sz w:val="20"/>
          <w:szCs w:val="20"/>
        </w:rPr>
        <w:t xml:space="preserve">ACTION (inside loop): Call ContractPricingEngine.cls with the current Account ID. Store the Result.</w:t>
      </w:r>
    </w:p>
    <w:p>
      <w:pPr>
        <w:pStyle w:val="ListParagraph"/>
        <w:numPr>
          <w:ilvl w:val="0"/>
          <w:numId w:val="3"/>
        </w:numPr>
        <w:spacing w:after="40" w:before="40"/>
      </w:pPr>
      <w:r>
        <w:rPr>
          <w:rFonts w:ascii="Arial" w:cs="Arial" w:eastAsia="Arial" w:hAnsi="Arial"/>
          <w:b w:val="false"/>
          <w:bCs w:val="false"/>
          <w:color w:val="1E293B"/>
          <w:sz w:val="20"/>
          <w:szCs w:val="20"/>
        </w:rPr>
        <w:t xml:space="preserve">CREATE RECORD (inside loop): Create a ChatterFeedItem (type FeedItem) with:
  ParentId = Account.Id
  Body = 'Renewal in [Days_To_Renewal__c] days. Recommended rate: $[Target_Bill_Rate__c]. Current: $[Bill_Rate__c]. Health: [Contract_Health_Score__c]/100. Rec: [Renewal_Rec__c]'</w:t>
      </w:r>
    </w:p>
    <w:p>
      <w:pPr>
        <w:pStyle w:val="ListParagraph"/>
        <w:numPr>
          <w:ilvl w:val="0"/>
          <w:numId w:val="3"/>
        </w:numPr>
        <w:spacing w:after="40" w:before="40"/>
      </w:pPr>
      <w:r>
        <w:rPr>
          <w:rFonts w:ascii="Arial" w:cs="Arial" w:eastAsia="Arial" w:hAnsi="Arial"/>
          <w:b w:val="false"/>
          <w:bCs w:val="false"/>
          <w:color w:val="1E293B"/>
          <w:sz w:val="20"/>
          <w:szCs w:val="20"/>
        </w:rPr>
        <w:t xml:space="preserve">CREATE RECORD (inside loop): Create a Task with:
  WhatId = Account.Id
  Subject = 'Contract renewal in [X] days — [Renewal_Rec__c]'
  ActivityDate = TODAY + 7 days
  Priority = High if Days_To_Renewal = 30, else Normal
  OwnerId = Account.OwnerId</w:t>
      </w:r>
    </w:p>
    <w:p>
      <w:pPr>
        <w:pStyle w:val="ListParagraph"/>
        <w:numPr>
          <w:ilvl w:val="0"/>
          <w:numId w:val="3"/>
        </w:numPr>
        <w:spacing w:after="40" w:before="40"/>
      </w:pPr>
      <w:r>
        <w:rPr>
          <w:rFonts w:ascii="Arial" w:cs="Arial" w:eastAsia="Arial" w:hAnsi="Arial"/>
          <w:b w:val="false"/>
          <w:bCs w:val="false"/>
          <w:color w:val="1E293B"/>
          <w:sz w:val="20"/>
          <w:szCs w:val="20"/>
        </w:rPr>
        <w:t xml:space="preserve">END LOOP.</w:t>
      </w:r>
    </w:p>
    <w:p>
      <w:pPr>
        <w:pStyle w:val="ListParagraph"/>
        <w:numPr>
          <w:ilvl w:val="0"/>
          <w:numId w:val="3"/>
        </w:numPr>
        <w:spacing w:after="40" w:before="40"/>
      </w:pPr>
      <w:r>
        <w:rPr>
          <w:rFonts w:ascii="Arial" w:cs="Arial" w:eastAsia="Arial" w:hAnsi="Arial"/>
          <w:b w:val="false"/>
          <w:bCs w:val="false"/>
          <w:color w:val="1E293B"/>
          <w:sz w:val="20"/>
          <w:szCs w:val="20"/>
        </w:rPr>
        <w:t xml:space="preserve">END Flow.</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2563EB" w:val="clear"/>
            <w:tcMar>
              <w:top w:type="dxa" w:w="110"/>
              <w:left w:type="dxa" w:w="110"/>
              <w:bottom w:type="dxa" w:w="110"/>
              <w:right w:type="dxa" w:w="100"/>
            </w:tcMar>
          </w:tcPr>
          <w:p>
            <w:pPr>
              <w:spacing w:after="40" w:before="40"/>
              <w:jc w:val="center"/>
            </w:pPr>
            <w:r>
              <w:rPr>
                <w:rFonts w:ascii="Arial" w:cs="Arial" w:eastAsia="Arial" w:hAnsi="Arial"/>
                <w:b/>
                <w:bCs/>
                <w:color w:val="FFFFFF"/>
                <w:sz w:val="20"/>
                <w:szCs w:val="20"/>
              </w:rPr>
              <w:t xml:space="preserve">TIP</w:t>
            </w:r>
          </w:p>
        </w:tc>
        <w:tc>
          <w:tcPr>
            <w:tcW w:type="dxa" w:w="9080"/>
            <w:tcBorders>
              <w:top w:val="none" w:color="FFFFFF" w:sz="0"/>
              <w:left w:val="none" w:color="FFFFFF" w:sz="0"/>
              <w:bottom w:val="none" w:color="FFFFFF" w:sz="0"/>
              <w:right w:val="none" w:color="FFFFFF" w:sz="0"/>
            </w:tcBorders>
            <w:shd w:fill="DBEAFE" w:val="clear"/>
            <w:tcMar>
              <w:top w:type="dxa" w:w="110"/>
              <w:left w:type="dxa" w:w="150"/>
              <w:bottom w:type="dxa" w:w="110"/>
              <w:right w:type="dxa" w:w="110"/>
            </w:tcMar>
          </w:tcPr>
          <w:p>
            <w:pPr>
              <w:spacing w:after="40" w:before="40"/>
            </w:pPr>
            <w:r>
              <w:rPr>
                <w:rFonts w:ascii="Arial" w:cs="Arial" w:eastAsia="Arial" w:hAnsi="Arial"/>
                <w:b w:val="false"/>
                <w:bCs w:val="false"/>
                <w:color w:val="1B2A4A"/>
                <w:sz w:val="20"/>
                <w:szCs w:val="20"/>
              </w:rPr>
              <w:t xml:space="preserve">You can also trigger ContractPricingEngine from Agentforce directly. Tell the agent: 'What should I charge for Beta Logistics 3 at renewal?' — the agent calls the action, gets the breakdown, and explains it in natural language. No Flow needed for this path.</w:t>
            </w:r>
          </w:p>
        </w:tc>
      </w:tr>
    </w:tbl>
    <w:p>
      <w:r>
        <w:br w:type="page"/>
      </w:r>
    </w:p>
    <w:p>
      <w:pPr>
        <w:pStyle w:val="Heading1"/>
        <w:pBdr>
          <w:bottom w:val="single" w:color="2563EB" w:sz="8" w:space="4"/>
        </w:pBdr>
        <w:spacing w:after="140" w:before="360"/>
      </w:pPr>
      <w:r>
        <w:rPr>
          <w:rFonts w:ascii="Arial" w:cs="Arial" w:eastAsia="Arial" w:hAnsi="Arial"/>
          <w:b/>
          <w:bCs/>
          <w:color w:val="1B2A4A"/>
          <w:sz w:val="20"/>
          <w:szCs w:val="20"/>
        </w:rPr>
        <w:t xml:space="preserve">8. Test Classes</w:t>
      </w:r>
    </w:p>
    <w:p>
      <w:pPr>
        <w:spacing w:after="60" w:before="60"/>
        <w:jc w:val="left"/>
      </w:pPr>
      <w:r>
        <w:rPr>
          <w:rFonts w:ascii="Arial" w:cs="Arial" w:eastAsia="Arial" w:hAnsi="Arial"/>
          <w:b w:val="false"/>
          <w:bCs w:val="false"/>
          <w:color w:val="1E293B"/>
          <w:sz w:val="20"/>
          <w:szCs w:val="20"/>
        </w:rPr>
        <w:t xml:space="preserve">Two test classes are included: ChurnModelCalloutTest.cls and ContractPricingEngineTest.cls. Salesforce requires 75% code coverage before deployment to production. These classes cover both the success and failure paths.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960"/>
      </w:tblGrid>
      <w:tr>
        <w:tc>
          <w:tcPr>
            <w:tcW w:type="dxa" w:w="3200"/>
            <w:tcBorders>
              <w:top w:val="single" w:color="16A34A" w:sz="1"/>
              <w:left w:val="single" w:color="16A34A" w:sz="1"/>
              <w:bottom w:val="single" w:color="16A34A" w:sz="1"/>
              <w:right w:val="single" w:color="16A34A" w:sz="1"/>
            </w:tcBorders>
            <w:shd w:fill="16A34A" w:val="clear"/>
            <w:tcMar>
              <w:top w:type="dxa" w:w="90"/>
              <w:left w:type="dxa" w:w="130"/>
              <w:bottom w:type="dxa" w:w="90"/>
              <w:right w:type="dxa" w:w="130"/>
            </w:tcMar>
          </w:tcPr>
          <w:p>
            <w:pPr>
              <w:spacing w:after="60" w:before="60"/>
            </w:pPr>
            <w:r>
              <w:rPr>
                <w:rFonts w:ascii="Arial" w:cs="Arial" w:eastAsia="Arial" w:hAnsi="Arial"/>
                <w:b/>
                <w:bCs/>
                <w:color w:val="FFFFFF"/>
                <w:sz w:val="20"/>
                <w:szCs w:val="20"/>
              </w:rPr>
              <w:t xml:space="preserve">Test class</w:t>
            </w:r>
          </w:p>
        </w:tc>
        <w:tc>
          <w:tcPr>
            <w:tcW w:type="dxa" w:w="4200"/>
            <w:tcBorders>
              <w:top w:val="single" w:color="16A34A" w:sz="1"/>
              <w:left w:val="single" w:color="16A34A" w:sz="1"/>
              <w:bottom w:val="single" w:color="16A34A" w:sz="1"/>
              <w:right w:val="single" w:color="16A34A" w:sz="1"/>
            </w:tcBorders>
            <w:shd w:fill="16A34A" w:val="clear"/>
            <w:tcMar>
              <w:top w:type="dxa" w:w="90"/>
              <w:left w:type="dxa" w:w="130"/>
              <w:bottom w:type="dxa" w:w="90"/>
              <w:right w:type="dxa" w:w="130"/>
            </w:tcMar>
          </w:tcPr>
          <w:p>
            <w:pPr>
              <w:spacing w:after="60" w:before="60"/>
            </w:pPr>
            <w:r>
              <w:rPr>
                <w:rFonts w:ascii="Arial" w:cs="Arial" w:eastAsia="Arial" w:hAnsi="Arial"/>
                <w:b/>
                <w:bCs/>
                <w:color w:val="FFFFFF"/>
                <w:sz w:val="20"/>
                <w:szCs w:val="20"/>
              </w:rPr>
              <w:t xml:space="preserve">Tests covered</w:t>
            </w:r>
          </w:p>
        </w:tc>
        <w:tc>
          <w:tcPr>
            <w:tcW w:type="dxa" w:w="1960"/>
            <w:tcBorders>
              <w:top w:val="single" w:color="16A34A" w:sz="1"/>
              <w:left w:val="single" w:color="16A34A" w:sz="1"/>
              <w:bottom w:val="single" w:color="16A34A" w:sz="1"/>
              <w:right w:val="single" w:color="16A34A" w:sz="1"/>
            </w:tcBorders>
            <w:shd w:fill="16A34A" w:val="clear"/>
            <w:tcMar>
              <w:top w:type="dxa" w:w="90"/>
              <w:left w:type="dxa" w:w="130"/>
              <w:bottom w:type="dxa" w:w="90"/>
              <w:right w:type="dxa" w:w="130"/>
            </w:tcMar>
          </w:tcPr>
          <w:p>
            <w:pPr>
              <w:spacing w:after="60" w:before="60"/>
            </w:pPr>
            <w:r>
              <w:rPr>
                <w:rFonts w:ascii="Arial" w:cs="Arial" w:eastAsia="Arial" w:hAnsi="Arial"/>
                <w:b/>
                <w:bCs/>
                <w:color w:val="FFFFFF"/>
                <w:sz w:val="20"/>
                <w:szCs w:val="20"/>
              </w:rPr>
              <w:t xml:space="preserve">Coverage achieved</w:t>
            </w:r>
          </w:p>
        </w:tc>
      </w:tr>
      <w:tr>
        <w:tc>
          <w:tcPr>
            <w:tcW w:type="dxa" w:w="3200"/>
            <w:gridSpan w:val="1"/>
            <w:tcBorders>
              <w:top w:val="single" w:color="E2E8F0" w:sz="1"/>
              <w:left w:val="single" w:color="E2E8F0" w:sz="1"/>
              <w:bottom w:val="single" w:color="E2E8F0" w:sz="1"/>
              <w:right w:val="single" w:color="E2E8F0" w:sz="1"/>
            </w:tcBorders>
            <w:shd w:fill="DCFCE7"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ChurnModelCalloutTest.cls</w:t>
            </w:r>
          </w:p>
        </w:tc>
        <w:tc>
          <w:tcPr>
            <w:tcW w:type="dxa" w:w="4200"/>
            <w:gridSpan w:val="1"/>
            <w:tcBorders>
              <w:top w:val="single" w:color="E2E8F0" w:sz="1"/>
              <w:left w:val="single" w:color="E2E8F0" w:sz="1"/>
              <w:bottom w:val="single" w:color="E2E8F0" w:sz="1"/>
              <w:right w:val="single" w:color="E2E8F0" w:sz="1"/>
            </w:tcBorders>
            <w:shd w:fill="DCFCE7"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Happy path (200 OK, High tier returned, Contact updated), API failure path (500 error handled gracefully)</w:t>
            </w:r>
          </w:p>
        </w:tc>
        <w:tc>
          <w:tcPr>
            <w:tcW w:type="dxa" w:w="1960"/>
            <w:gridSpan w:val="1"/>
            <w:tcBorders>
              <w:top w:val="single" w:color="E2E8F0" w:sz="1"/>
              <w:left w:val="single" w:color="E2E8F0" w:sz="1"/>
              <w:bottom w:val="single" w:color="E2E8F0" w:sz="1"/>
              <w:right w:val="single" w:color="E2E8F0" w:sz="1"/>
            </w:tcBorders>
            <w:shd w:fill="DCFCE7"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~90% of ChurnModelCallout.cls</w:t>
            </w:r>
          </w:p>
        </w:tc>
      </w:tr>
      <w:tr>
        <w:tc>
          <w:tcPr>
            <w:tcW w:type="dxa" w:w="32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ContractPricingEngineTest.cls</w:t>
            </w:r>
          </w:p>
        </w:tc>
        <w:tc>
          <w:tcPr>
            <w:tcW w:type="dxa" w:w="420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Underpriced site (Delta Hospital — should recommend Increase Rate), all 6 Account fields written correctly, OT surcharge calculated when OT &gt; 15%</w:t>
            </w:r>
          </w:p>
        </w:tc>
        <w:tc>
          <w:tcPr>
            <w:tcW w:type="dxa" w:w="1960"/>
            <w:gridSpan w:val="1"/>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pPr>
              <w:spacing w:after="70" w:before="70"/>
            </w:pPr>
            <w:r>
              <w:rPr>
                <w:rFonts w:ascii="Arial" w:cs="Arial" w:eastAsia="Arial" w:hAnsi="Arial"/>
                <w:b w:val="false"/>
                <w:bCs w:val="false"/>
                <w:color w:val="1E293B"/>
                <w:sz w:val="20"/>
                <w:szCs w:val="20"/>
              </w:rPr>
              <w:t xml:space="preserve">~85% of ContractPricingEngine.cls</w:t>
            </w:r>
          </w:p>
        </w:tc>
      </w:tr>
    </w:tbl>
    <w:p>
      <w:pPr>
        <w:spacing w:after="0" w:before="80"/>
      </w:pPr>
    </w:p>
    <w:p>
      <w:pPr>
        <w:pStyle w:val="Heading2"/>
        <w:spacing w:after="100" w:before="260"/>
      </w:pPr>
      <w:r>
        <w:rPr>
          <w:rFonts w:ascii="Arial" w:cs="Arial" w:eastAsia="Arial" w:hAnsi="Arial"/>
          <w:b/>
          <w:bCs/>
          <w:color w:val="2563EB"/>
          <w:sz w:val="20"/>
          <w:szCs w:val="20"/>
        </w:rPr>
        <w:t xml:space="preserve">How to run tests</w:t>
      </w:r>
    </w:p>
    <w:p>
      <w:pPr>
        <w:pStyle w:val="ListParagraph"/>
        <w:numPr>
          <w:ilvl w:val="0"/>
          <w:numId w:val="3"/>
        </w:numPr>
        <w:spacing w:after="40" w:before="40"/>
      </w:pPr>
      <w:r>
        <w:rPr>
          <w:rFonts w:ascii="Arial" w:cs="Arial" w:eastAsia="Arial" w:hAnsi="Arial"/>
          <w:b w:val="false"/>
          <w:bCs w:val="false"/>
          <w:color w:val="1E293B"/>
          <w:sz w:val="20"/>
          <w:szCs w:val="20"/>
        </w:rPr>
        <w:t xml:space="preserve">In Salesforce, go to Setup → Apex Classes</w:t>
      </w:r>
    </w:p>
    <w:p>
      <w:pPr>
        <w:pStyle w:val="ListParagraph"/>
        <w:numPr>
          <w:ilvl w:val="0"/>
          <w:numId w:val="3"/>
        </w:numPr>
        <w:spacing w:after="40" w:before="40"/>
      </w:pPr>
      <w:r>
        <w:rPr>
          <w:rFonts w:ascii="Arial" w:cs="Arial" w:eastAsia="Arial" w:hAnsi="Arial"/>
          <w:b w:val="false"/>
          <w:bCs w:val="false"/>
          <w:color w:val="1E293B"/>
          <w:sz w:val="20"/>
          <w:szCs w:val="20"/>
        </w:rPr>
        <w:t xml:space="preserve">Click 'Run All Tests' — or in Developer Console, Test → New Run, select both test classes</w:t>
      </w:r>
    </w:p>
    <w:p>
      <w:pPr>
        <w:pStyle w:val="ListParagraph"/>
        <w:numPr>
          <w:ilvl w:val="0"/>
          <w:numId w:val="3"/>
        </w:numPr>
        <w:spacing w:after="40" w:before="40"/>
      </w:pPr>
      <w:r>
        <w:rPr>
          <w:rFonts w:ascii="Arial" w:cs="Arial" w:eastAsia="Arial" w:hAnsi="Arial"/>
          <w:b w:val="false"/>
          <w:bCs w:val="false"/>
          <w:color w:val="1E293B"/>
          <w:sz w:val="20"/>
          <w:szCs w:val="20"/>
        </w:rPr>
        <w:t xml:space="preserve">Check that both pass (green) and coverage is above 75% for each class</w:t>
      </w:r>
    </w:p>
    <w:p>
      <w:pPr>
        <w:pStyle w:val="ListParagraph"/>
        <w:numPr>
          <w:ilvl w:val="0"/>
          <w:numId w:val="3"/>
        </w:numPr>
        <w:spacing w:after="40" w:before="40"/>
      </w:pPr>
      <w:r>
        <w:rPr>
          <w:rFonts w:ascii="Arial" w:cs="Arial" w:eastAsia="Arial" w:hAnsi="Arial"/>
          <w:b w:val="false"/>
          <w:bCs w:val="false"/>
          <w:color w:val="1E293B"/>
          <w:sz w:val="20"/>
          <w:szCs w:val="20"/>
        </w:rPr>
        <w:t xml:space="preserve">Only then deploy to production via Setup → Apex Classes → Deploy to Production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6A34A" w:val="clear"/>
            <w:tcMar>
              <w:top w:type="dxa" w:w="110"/>
              <w:left w:type="dxa" w:w="110"/>
              <w:bottom w:type="dxa" w:w="110"/>
              <w:right w:type="dxa" w:w="100"/>
            </w:tcMar>
          </w:tcPr>
          <w:p>
            <w:pPr>
              <w:spacing w:after="40" w:before="40"/>
              <w:jc w:val="center"/>
            </w:pPr>
            <w:r>
              <w:rPr>
                <w:rFonts w:ascii="Arial" w:cs="Arial" w:eastAsia="Arial" w:hAnsi="Arial"/>
                <w:b/>
                <w:bCs/>
                <w:color w:val="FFFFFF"/>
                <w:sz w:val="20"/>
                <w:szCs w:val="20"/>
              </w:rPr>
              <w:t xml:space="preserve">FILES</w:t>
            </w:r>
          </w:p>
        </w:tc>
        <w:tc>
          <w:tcPr>
            <w:tcW w:type="dxa" w:w="9080"/>
            <w:tcBorders>
              <w:top w:val="none" w:color="FFFFFF" w:sz="0"/>
              <w:left w:val="none" w:color="FFFFFF" w:sz="0"/>
              <w:bottom w:val="none" w:color="FFFFFF" w:sz="0"/>
              <w:right w:val="none" w:color="FFFFFF" w:sz="0"/>
            </w:tcBorders>
            <w:shd w:fill="DCFCE7" w:val="clear"/>
            <w:tcMar>
              <w:top w:type="dxa" w:w="110"/>
              <w:left w:type="dxa" w:w="150"/>
              <w:bottom w:type="dxa" w:w="110"/>
              <w:right w:type="dxa" w:w="110"/>
            </w:tcMar>
          </w:tcPr>
          <w:p>
            <w:pPr>
              <w:spacing w:after="40" w:before="40"/>
            </w:pPr>
            <w:r>
              <w:rPr>
                <w:rFonts w:ascii="Arial" w:cs="Arial" w:eastAsia="Arial" w:hAnsi="Arial"/>
                <w:b w:val="false"/>
                <w:bCs w:val="false"/>
                <w:color w:val="1B2A4A"/>
                <w:sz w:val="20"/>
                <w:szCs w:val="20"/>
              </w:rPr>
              <w:t xml:space="preserve">All 7 files are included with this document: churn_api.py, salesforce_push.py, requirements.txt, .env.example, ChurnModelCallout.cls, ContractPricingEngine.cls, ChurnModelCalloutTest.cls, ContractPricingEngineTest.cls. The model files (lgbm_churn.pkl, label_encoder.pkl, model_metadata.json) are the outputs of training on your 126-guard dataset.</w:t>
            </w:r>
          </w:p>
        </w:tc>
      </w:tr>
    </w:tbl>
    <w:p>
      <w:pPr>
        <w:spacing w:after="0" w:before="200"/>
      </w:pPr>
    </w:p>
    <w:p>
      <w:pPr>
        <w:pBdr>
          <w:top w:val="single" w:color="2563EB" w:sz="8" w:space="8"/>
        </w:pBdr>
        <w:spacing w:after="0" w:before="300"/>
        <w:jc w:val="center"/>
      </w:pPr>
      <w:r>
        <w:rPr>
          <w:rFonts w:ascii="Arial" w:cs="Arial" w:eastAsia="Arial" w:hAnsi="Arial"/>
          <w:b/>
          <w:bCs/>
          <w:color w:val="1B2A4A"/>
          <w:sz w:val="20"/>
          <w:szCs w:val="20"/>
        </w:rPr>
        <w:t xml:space="preserve">Vista Security Ops  —  Nick Moxam  —  June 2026</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spacing w:after="0" w:before="80"/>
    </w:pPr>
    <w:r>
      <w:rPr>
        <w:rFonts w:ascii="Arial" w:cs="Arial" w:eastAsia="Arial" w:hAnsi="Arial"/>
        <w:b w:val="false"/>
        <w:bCs w:val="false"/>
        <w:color w:val="475569"/>
        <w:sz w:val="20"/>
        <w:szCs w:val="20"/>
      </w:rPr>
      <w:t xml:space="preserve">Nick Moxam  •  Vista Security Ops  •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80" w:before="0"/>
    </w:pPr>
    <w:r>
      <w:rPr>
        <w:rFonts w:ascii="Arial" w:cs="Arial" w:eastAsia="Arial" w:hAnsi="Arial"/>
        <w:b w:val="false"/>
        <w:bCs w:val="false"/>
        <w:color w:val="475569"/>
        <w:sz w:val="20"/>
        <w:szCs w:val="20"/>
      </w:rPr>
      <w:t xml:space="preserve">Vista Security Ops  |  Churn Model + Pricing Intelligence Build Guide</w:t>
    </w:r>
    <w:r>
      <w:rPr>
        <w:rFonts w:ascii="Arial" w:cs="Arial" w:eastAsia="Arial" w:hAnsi="Arial"/>
        <w:b/>
        <w:bCs/>
        <w:color w:val="2563EB"/>
        <w:sz w:val="20"/>
        <w:szCs w:val="20"/>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00" w:before="26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75569"/>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2026-06-09T12:53:45.431Z</dcterms:created>
  <dcterms:modified xsi:type="dcterms:W3CDTF">2026-06-09T12:53:45.447Z</dcterms:modified>
</cp:coreProperties>
</file>

<file path=docProps/custom.xml><?xml version="1.0" encoding="utf-8"?>
<Properties xmlns="http://schemas.openxmlformats.org/officeDocument/2006/custom-properties" xmlns:vt="http://schemas.openxmlformats.org/officeDocument/2006/docPropsVTypes"/>
</file>