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C1AA3" w14:textId="432D4B4F" w:rsidR="006A75D2" w:rsidRPr="006A75D2" w:rsidRDefault="006A75D2">
      <w:pPr>
        <w:rPr>
          <w:rFonts w:ascii="Times New Roman" w:hAnsi="Times New Roman" w:cs="Times New Roman"/>
        </w:rPr>
      </w:pPr>
      <w:r w:rsidRPr="006A75D2">
        <w:rPr>
          <w:rFonts w:ascii="Times New Roman" w:hAnsi="Times New Roman" w:cs="Times New Roman"/>
        </w:rPr>
        <w:t xml:space="preserve">For this exercise, I executed a hypothetical ticket purchase for a </w:t>
      </w:r>
      <w:r w:rsidRPr="006A75D2">
        <w:rPr>
          <w:rFonts w:ascii="Times New Roman" w:hAnsi="Times New Roman" w:cs="Times New Roman"/>
        </w:rPr>
        <w:t>Coldplay</w:t>
      </w:r>
      <w:r w:rsidRPr="006A75D2">
        <w:rPr>
          <w:rFonts w:ascii="Times New Roman" w:hAnsi="Times New Roman" w:cs="Times New Roman"/>
        </w:rPr>
        <w:t xml:space="preserve"> concert. Firstly, I searched for </w:t>
      </w:r>
      <w:proofErr w:type="spellStart"/>
      <w:r w:rsidRPr="006A75D2">
        <w:rPr>
          <w:rFonts w:ascii="Times New Roman" w:hAnsi="Times New Roman" w:cs="Times New Roman"/>
        </w:rPr>
        <w:t>ConcertPal</w:t>
      </w:r>
      <w:proofErr w:type="spellEnd"/>
      <w:r>
        <w:rPr>
          <w:rFonts w:ascii="Times New Roman" w:hAnsi="Times New Roman" w:cs="Times New Roman"/>
        </w:rPr>
        <w:t xml:space="preserve"> extension</w:t>
      </w:r>
      <w:r w:rsidRPr="006A75D2">
        <w:rPr>
          <w:rFonts w:ascii="Times New Roman" w:hAnsi="Times New Roman" w:cs="Times New Roman"/>
        </w:rPr>
        <w:t xml:space="preserve"> on Google Chrome’s Web Store. After the results, I added </w:t>
      </w:r>
      <w:proofErr w:type="spellStart"/>
      <w:r w:rsidRPr="006A75D2">
        <w:rPr>
          <w:rFonts w:ascii="Times New Roman" w:hAnsi="Times New Roman" w:cs="Times New Roman"/>
        </w:rPr>
        <w:t>ConcertPal</w:t>
      </w:r>
      <w:proofErr w:type="spellEnd"/>
      <w:r w:rsidRPr="006A75D2">
        <w:rPr>
          <w:rFonts w:ascii="Times New Roman" w:hAnsi="Times New Roman" w:cs="Times New Roman"/>
        </w:rPr>
        <w:t xml:space="preserve"> extension. Upon opening seatgeek.com, I was </w:t>
      </w:r>
      <w:r w:rsidRPr="006A75D2">
        <w:rPr>
          <w:rFonts w:ascii="Times New Roman" w:hAnsi="Times New Roman" w:cs="Times New Roman"/>
          <w:b/>
          <w:bCs/>
        </w:rPr>
        <w:t>delighted</w:t>
      </w:r>
      <w:r w:rsidRPr="006A75D2">
        <w:rPr>
          <w:rFonts w:ascii="Times New Roman" w:hAnsi="Times New Roman" w:cs="Times New Roman"/>
        </w:rPr>
        <w:t xml:space="preserve"> to be met with </w:t>
      </w:r>
      <w:proofErr w:type="spellStart"/>
      <w:r w:rsidRPr="006A75D2">
        <w:rPr>
          <w:rFonts w:ascii="Times New Roman" w:hAnsi="Times New Roman" w:cs="Times New Roman"/>
        </w:rPr>
        <w:t>ConcertPal’s</w:t>
      </w:r>
      <w:proofErr w:type="spellEnd"/>
      <w:r w:rsidRPr="006A75D2">
        <w:rPr>
          <w:rFonts w:ascii="Times New Roman" w:hAnsi="Times New Roman" w:cs="Times New Roman"/>
        </w:rPr>
        <w:t xml:space="preserve"> widget at the right of the viewport. The placement helps with </w:t>
      </w:r>
      <w:r w:rsidRPr="006A75D2">
        <w:rPr>
          <w:rFonts w:ascii="Times New Roman" w:hAnsi="Times New Roman" w:cs="Times New Roman"/>
          <w:b/>
          <w:bCs/>
        </w:rPr>
        <w:t>ease of navigation</w:t>
      </w:r>
      <w:r w:rsidRPr="006A75D2">
        <w:rPr>
          <w:rFonts w:ascii="Times New Roman" w:hAnsi="Times New Roman" w:cs="Times New Roman"/>
        </w:rPr>
        <w:t xml:space="preserve">. I like that the collapsed application serves as a call-to-action button, and the prompt “Click to save” highlights the balance between design and business goals. When the app is expanded, several usability principles are at work: namely, </w:t>
      </w:r>
      <w:r w:rsidRPr="004D010F">
        <w:rPr>
          <w:rFonts w:ascii="Times New Roman" w:hAnsi="Times New Roman" w:cs="Times New Roman"/>
          <w:b/>
          <w:bCs/>
        </w:rPr>
        <w:t>Clarity</w:t>
      </w:r>
      <w:r w:rsidRPr="006A75D2">
        <w:rPr>
          <w:rFonts w:ascii="Times New Roman" w:hAnsi="Times New Roman" w:cs="Times New Roman"/>
        </w:rPr>
        <w:t xml:space="preserve">, </w:t>
      </w:r>
      <w:r w:rsidRPr="004D010F">
        <w:rPr>
          <w:rFonts w:ascii="Times New Roman" w:hAnsi="Times New Roman" w:cs="Times New Roman"/>
          <w:b/>
          <w:bCs/>
        </w:rPr>
        <w:t>User Control/Freedom</w:t>
      </w:r>
      <w:r w:rsidRPr="006A75D2">
        <w:rPr>
          <w:rFonts w:ascii="Times New Roman" w:hAnsi="Times New Roman" w:cs="Times New Roman"/>
        </w:rPr>
        <w:t xml:space="preserve"> (the user can move the widget around to their liking), </w:t>
      </w:r>
      <w:r w:rsidRPr="004D010F">
        <w:rPr>
          <w:rFonts w:ascii="Times New Roman" w:hAnsi="Times New Roman" w:cs="Times New Roman"/>
          <w:b/>
          <w:bCs/>
        </w:rPr>
        <w:t>Aesthetic integrity</w:t>
      </w:r>
      <w:r w:rsidRPr="006A75D2">
        <w:rPr>
          <w:rFonts w:ascii="Times New Roman" w:hAnsi="Times New Roman" w:cs="Times New Roman"/>
        </w:rPr>
        <w:t xml:space="preserve"> and </w:t>
      </w:r>
      <w:r w:rsidRPr="004D010F">
        <w:rPr>
          <w:rFonts w:ascii="Times New Roman" w:hAnsi="Times New Roman" w:cs="Times New Roman"/>
          <w:b/>
          <w:bCs/>
        </w:rPr>
        <w:t>Feedback</w:t>
      </w:r>
      <w:r w:rsidRPr="006A75D2">
        <w:rPr>
          <w:rFonts w:ascii="Times New Roman" w:hAnsi="Times New Roman" w:cs="Times New Roman"/>
        </w:rPr>
        <w:t xml:space="preserve"> (Fetching details buffer). The UI principles that stand out for me are </w:t>
      </w:r>
      <w:r w:rsidRPr="004D010F">
        <w:rPr>
          <w:rFonts w:ascii="Times New Roman" w:hAnsi="Times New Roman" w:cs="Times New Roman"/>
          <w:b/>
          <w:bCs/>
        </w:rPr>
        <w:t>visual hierarchy</w:t>
      </w:r>
      <w:r w:rsidRPr="006A75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r w:rsidRPr="004D010F">
        <w:rPr>
          <w:rFonts w:ascii="Times New Roman" w:hAnsi="Times New Roman" w:cs="Times New Roman"/>
          <w:b/>
          <w:bCs/>
        </w:rPr>
        <w:t>proximity</w:t>
      </w:r>
      <w:r w:rsidRPr="006A75D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For example, </w:t>
      </w:r>
      <w:r w:rsidRPr="006A75D2">
        <w:rPr>
          <w:rFonts w:ascii="Times New Roman" w:hAnsi="Times New Roman" w:cs="Times New Roman"/>
        </w:rPr>
        <w:t xml:space="preserve">Visual </w:t>
      </w:r>
      <w:r>
        <w:rPr>
          <w:rFonts w:ascii="Times New Roman" w:hAnsi="Times New Roman" w:cs="Times New Roman"/>
        </w:rPr>
        <w:t>Hierarchy is evident in the</w:t>
      </w:r>
      <w:r w:rsidRPr="006A75D2">
        <w:rPr>
          <w:rFonts w:ascii="Times New Roman" w:hAnsi="Times New Roman" w:cs="Times New Roman"/>
        </w:rPr>
        <w:t xml:space="preserve"> toggle in between “Deals” and “Track”, </w:t>
      </w:r>
      <w:r>
        <w:rPr>
          <w:rFonts w:ascii="Times New Roman" w:hAnsi="Times New Roman" w:cs="Times New Roman"/>
        </w:rPr>
        <w:t xml:space="preserve">the </w:t>
      </w:r>
      <w:r w:rsidRPr="006A75D2">
        <w:rPr>
          <w:rFonts w:ascii="Times New Roman" w:hAnsi="Times New Roman" w:cs="Times New Roman"/>
        </w:rPr>
        <w:t xml:space="preserve">vertical stacking and scroll of the Deals, and the “Grab the Deal” buttons that are consistent for each card. Proximity: The grouping of essential </w:t>
      </w:r>
      <w:r w:rsidRPr="006A75D2">
        <w:rPr>
          <w:rFonts w:ascii="Times New Roman" w:hAnsi="Times New Roman" w:cs="Times New Roman"/>
        </w:rPr>
        <w:t>icons</w:t>
      </w:r>
      <w:r w:rsidRPr="006A75D2">
        <w:rPr>
          <w:rFonts w:ascii="Times New Roman" w:hAnsi="Times New Roman" w:cs="Times New Roman"/>
        </w:rPr>
        <w:t xml:space="preserve"> (gear</w:t>
      </w:r>
      <w:r>
        <w:rPr>
          <w:rFonts w:ascii="Times New Roman" w:hAnsi="Times New Roman" w:cs="Times New Roman"/>
        </w:rPr>
        <w:t>, bell and close</w:t>
      </w:r>
      <w:r w:rsidRPr="006A75D2">
        <w:rPr>
          <w:rFonts w:ascii="Times New Roman" w:hAnsi="Times New Roman" w:cs="Times New Roman"/>
        </w:rPr>
        <w:t xml:space="preserve">). I did experience friction during the “Sign in to start Tracking” process. I attempted to sign in with Google, however, it buffers for a significant amount of time, and eventually the </w:t>
      </w:r>
      <w:r w:rsidRPr="006A75D2">
        <w:rPr>
          <w:rFonts w:ascii="Times New Roman" w:hAnsi="Times New Roman" w:cs="Times New Roman"/>
        </w:rPr>
        <w:t>sign-up</w:t>
      </w:r>
      <w:r w:rsidRPr="006A75D2">
        <w:rPr>
          <w:rFonts w:ascii="Times New Roman" w:hAnsi="Times New Roman" w:cs="Times New Roman"/>
        </w:rPr>
        <w:t xml:space="preserve"> process timed out and failed to sign in. Regarding improvements, here are two suggestions. Improvement one could be a tool tip to inform users that if they accidentally close the app by mistake, they can restore it by opening it from the “manage extensions” menu in their respective browsers. </w:t>
      </w:r>
      <w:r w:rsidRPr="006A75D2">
        <w:rPr>
          <w:rFonts w:ascii="Times New Roman" w:hAnsi="Times New Roman" w:cs="Times New Roman"/>
          <w:b/>
          <w:bCs/>
        </w:rPr>
        <w:t>This highlights the usability heuristic of error prevention &amp; forgiveness</w:t>
      </w:r>
      <w:r w:rsidRPr="006A75D2">
        <w:rPr>
          <w:rFonts w:ascii="Times New Roman" w:hAnsi="Times New Roman" w:cs="Times New Roman"/>
        </w:rPr>
        <w:t xml:space="preserve">. The second improvement could be a feature where the app can populate the promo codes/deals on the Payment/ Billing pages of the Check Out process, so the user doesn’t have to copy individual codes to see which ones are valid. </w:t>
      </w:r>
      <w:r w:rsidRPr="006A75D2">
        <w:rPr>
          <w:rFonts w:ascii="Times New Roman" w:hAnsi="Times New Roman" w:cs="Times New Roman"/>
          <w:b/>
          <w:bCs/>
        </w:rPr>
        <w:t xml:space="preserve">Providing accelerators and efficiency of use can help the user throughout </w:t>
      </w:r>
      <w:r w:rsidRPr="006A75D2">
        <w:rPr>
          <w:rFonts w:ascii="Times New Roman" w:hAnsi="Times New Roman" w:cs="Times New Roman"/>
          <w:b/>
          <w:bCs/>
        </w:rPr>
        <w:t>their</w:t>
      </w:r>
      <w:r w:rsidRPr="006A75D2">
        <w:rPr>
          <w:rFonts w:ascii="Times New Roman" w:hAnsi="Times New Roman" w:cs="Times New Roman"/>
          <w:b/>
          <w:bCs/>
        </w:rPr>
        <w:t xml:space="preserve"> journey on the app</w:t>
      </w:r>
      <w:r w:rsidRPr="006A75D2">
        <w:rPr>
          <w:rFonts w:ascii="Times New Roman" w:hAnsi="Times New Roman" w:cs="Times New Roman"/>
        </w:rPr>
        <w:t>.</w:t>
      </w:r>
    </w:p>
    <w:sectPr w:rsidR="006A75D2" w:rsidRPr="006A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D2"/>
    <w:rsid w:val="002654A8"/>
    <w:rsid w:val="004D010F"/>
    <w:rsid w:val="006A75D2"/>
    <w:rsid w:val="0093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BD8E"/>
  <w15:chartTrackingRefBased/>
  <w15:docId w15:val="{FC6E05BC-902C-4362-B705-1C4C7FE3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2</cp:revision>
  <dcterms:created xsi:type="dcterms:W3CDTF">2025-02-14T21:06:00Z</dcterms:created>
  <dcterms:modified xsi:type="dcterms:W3CDTF">2025-02-14T21:24:00Z</dcterms:modified>
</cp:coreProperties>
</file>