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Directed Acyclic Graph Factorization Machines for CTR Prediction via Knowledge Distillation</w:t>
      </w:r>
    </w:p>
    <w:p>
      <w:r>
        <w:rPr>
          <w:b/>
        </w:rPr>
        <w:t xml:space="preserve">ArXiv ID: </w:t>
      </w:r>
      <w:r>
        <w:t>2211.11159 (https://arxiv.org/abs/2211.11159)</w:t>
      </w:r>
      <w:r>
        <w:br/>
      </w:r>
      <w:r>
        <w:rPr>
          <w:b/>
        </w:rPr>
        <w:t xml:space="preserve">Năm: </w:t>
      </w:r>
      <w:r>
        <w:t>2022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Cân bằng hiệu suất tính toán với độ chính xác mô hình khi triển khai hệ thống khuyến nghị quy mô công nghiệp</w:t>
      </w:r>
    </w:p>
    <w:p>
      <w:pPr>
        <w:pStyle w:val="Heading1"/>
      </w:pPr>
      <w:r>
        <w:t>2. Phương pháp sử dụng</w:t>
      </w:r>
    </w:p>
    <w:p>
      <w:r>
        <w:t>KD-DAGFM sử dụng knowledge distillation từ teacher phức tạp, cấu trúc DAG với dynamic programming</w:t>
      </w:r>
    </w:p>
    <w:p>
      <w:pPr>
        <w:pStyle w:val="Heading1"/>
      </w:pPr>
      <w:r>
        <w:t>3. Thành tựu đạt được</w:t>
      </w:r>
    </w:p>
    <w:p>
      <w:r>
        <w:t>Hiệu suất gần như không mất mát, giảm 78.5% chi phí tính toán (&lt;21.5% FLOPs so với SOTA), xác thực trên 4 dataset (WeChat)</w:t>
      </w:r>
    </w:p>
    <w:p>
      <w:pPr>
        <w:pStyle w:val="Heading1"/>
      </w:pPr>
      <w:r>
        <w:t>4. Hạn chế</w:t>
      </w:r>
    </w:p>
    <w:p>
      <w:r>
        <w:t>Knowledge distillation không hoàn toàn bảo toàn hành vi teacher, mất mát thông tin từ compression chưa rõ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