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FinalMLP: An Enhanced Two-Stream MLP Model for CTR Prediction</w:t>
      </w:r>
    </w:p>
    <w:p>
      <w:r>
        <w:rPr>
          <w:b/>
        </w:rPr>
        <w:t xml:space="preserve">ArXiv ID: </w:t>
      </w:r>
      <w:r>
        <w:t>2304.00902 (https://arxiv.org/abs/2304.00902)</w:t>
      </w:r>
      <w:r>
        <w:br/>
      </w:r>
      <w:r>
        <w:rPr>
          <w:b/>
        </w:rPr>
        <w:t xml:space="preserve">Năm: </w:t>
      </w:r>
      <w:r>
        <w:t>2023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Chứng minh hai MLP kết hợp chiến lược có thể vượt mô hình phức tạp</w:t>
      </w:r>
    </w:p>
    <w:p>
      <w:pPr>
        <w:pStyle w:val="Heading1"/>
      </w:pPr>
      <w:r>
        <w:t>2. Phương pháp sử dụng</w:t>
      </w:r>
    </w:p>
    <w:p>
      <w:r>
        <w:t>Kiến trúc hai dòng MLP với đầu vào khác biệt, cổng tính năng, lớp tập hợp tương tác</w:t>
      </w:r>
    </w:p>
    <w:p>
      <w:pPr>
        <w:pStyle w:val="Heading1"/>
      </w:pPr>
      <w:r>
        <w:t>3. Thành tựu đạt được</w:t>
      </w:r>
    </w:p>
    <w:p>
      <w:r>
        <w:t>MLP hai dòng so sánh được với DeepFM, DCN. A/B testing thực tế. AAAI 2023</w:t>
      </w:r>
    </w:p>
    <w:p>
      <w:pPr>
        <w:pStyle w:val="Heading1"/>
      </w:pPr>
      <w:r>
        <w:t>4. Hạn chế</w:t>
      </w:r>
    </w:p>
    <w:p>
      <w:r>
        <w:t>Tập trung CTR prediction, không chi tiết độ phức tạp tính toán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