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Review Paper: Reformulating CTR Prediction: Learning Invariant Feature Interactions for Recommendation</w:t>
      </w:r>
    </w:p>
    <w:p>
      <w:r>
        <w:rPr>
          <w:b/>
        </w:rPr>
        <w:t xml:space="preserve">ArXiv ID: </w:t>
      </w:r>
      <w:r>
        <w:t>2304.13643 (https://arxiv.org/abs/2304.13643)</w:t>
      </w:r>
      <w:r>
        <w:br/>
      </w:r>
      <w:r>
        <w:rPr>
          <w:b/>
        </w:rPr>
        <w:t xml:space="preserve">Năm: </w:t>
      </w:r>
      <w:r>
        <w:t>2023</w:t>
      </w:r>
      <w:r>
        <w:br/>
      </w:r>
      <w:r>
        <w:rPr>
          <w:b/>
        </w:rPr>
        <w:t xml:space="preserve">Nhóm: </w:t>
      </w:r>
      <w:r>
        <w:t>1 - Dự đoán tỷ lệ nhấp chuột (CTR) — Kiến trúc mô hình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1. Paper này đang nghiên cứu gì?</w:t>
      </w:r>
    </w:p>
    <w:p>
      <w:r>
        <w:t>Chuyển từ phương pháp học theo lịch sử sang tìm tương tác ổn định theo thời gian</w:t>
      </w:r>
    </w:p>
    <w:p>
      <w:pPr>
        <w:pStyle w:val="Heading1"/>
      </w:pPr>
      <w:r>
        <w:t>2. Phương pháp sử dụng</w:t>
      </w:r>
    </w:p>
    <w:p>
      <w:r>
        <w:t>Disentangled Invariant Learning (DIL): Tách tương tác không đổi môi trường + LightDIL biến thể hiệu quả</w:t>
      </w:r>
    </w:p>
    <w:p>
      <w:pPr>
        <w:pStyle w:val="Heading1"/>
      </w:pPr>
      <w:r>
        <w:t>3. Thành tựu đạt được</w:t>
      </w:r>
    </w:p>
    <w:p>
      <w:r>
        <w:t>Cải tổ cách nhìn CTR prediction, LightDIL hiệu quả tính toán tốt hơn, kiểm chứng trên dữ liệu thực</w:t>
      </w:r>
    </w:p>
    <w:p>
      <w:pPr>
        <w:pStyle w:val="Heading1"/>
      </w:pPr>
      <w:r>
        <w:t>4. Hạn chế</w:t>
      </w:r>
    </w:p>
    <w:p>
      <w:r>
        <w:t>Phân tích độ phức tạp không chi tiết, cách xử lý dữ liệu thưa chưa thảo luận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