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Review Paper: xDeepInt: a hybrid architecture for modeling vector-wise and bit-wise feature interactions</w:t>
      </w:r>
    </w:p>
    <w:p>
      <w:r>
        <w:rPr>
          <w:b/>
        </w:rPr>
        <w:t xml:space="preserve">ArXiv ID: </w:t>
      </w:r>
      <w:r>
        <w:t>2301.01089 (https://arxiv.org/abs/2301.01089)</w:t>
      </w:r>
      <w:r>
        <w:br/>
      </w:r>
      <w:r>
        <w:rPr>
          <w:b/>
        </w:rPr>
        <w:t xml:space="preserve">Năm: </w:t>
      </w:r>
      <w:r>
        <w:t>2023</w:t>
      </w:r>
      <w:r>
        <w:br/>
      </w:r>
      <w:r>
        <w:rPr>
          <w:b/>
        </w:rPr>
        <w:t xml:space="preserve">Nhóm: </w:t>
      </w:r>
      <w:r>
        <w:t>1 - Dự đoán tỷ lệ nhấp chuột (CTR) — Kiến trúc mô hình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Paper này đang nghiên cứu gì?</w:t>
      </w:r>
    </w:p>
    <w:p>
      <w:r>
        <w:t>Học tương tác vectơ chiều bậc cao, cân bằng vector-wise và bit-wise</w:t>
      </w:r>
    </w:p>
    <w:p>
      <w:pPr>
        <w:pStyle w:val="Heading1"/>
      </w:pPr>
      <w:r>
        <w:t>2. Phương pháp sử dụng</w:t>
      </w:r>
    </w:p>
    <w:p>
      <w:r>
        <w:t>Polynomial Interaction Network (PIN) + crossing subspace + chiến lược tối ưu tùy chỉnh</w:t>
      </w:r>
    </w:p>
    <w:p>
      <w:pPr>
        <w:pStyle w:val="Heading1"/>
      </w:pPr>
      <w:r>
        <w:t>3. Thành tựu đạt được</w:t>
      </w:r>
    </w:p>
    <w:p>
      <w:r>
        <w:t>PIN mới cho phép học đồng thời hai loại tương tác, code TensorFlow mã nguồn mở, hiệu năng cạnh tranh trên 3 dataset</w:t>
      </w:r>
    </w:p>
    <w:p>
      <w:pPr>
        <w:pStyle w:val="Heading1"/>
      </w:pPr>
      <w:r>
        <w:t>4. Hạn chế</w:t>
      </w:r>
    </w:p>
    <w:p>
      <w:r>
        <w:t>Không rõ hạn chế, tập trung tương tác bậc giới hạn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