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Towards Unifying Feature Interaction Models for CTR Prediction (IPA Framework)</w:t>
      </w:r>
    </w:p>
    <w:p>
      <w:r>
        <w:rPr>
          <w:b/>
        </w:rPr>
        <w:t xml:space="preserve">ArXiv ID: </w:t>
      </w:r>
      <w:r>
        <w:t>2411.12441 (https://arxiv.org/abs/2411.12441)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Hệ thống hóa các mô hình tương tác đặc trưng dưới framework thống nhất:</w:t>
      </w:r>
    </w:p>
    <w:p>
      <w:pPr>
        <w:pStyle w:val="ListBullet"/>
      </w:pPr>
      <w:r>
        <w:t>Các mô hình tương tác đặc trưng đa dạng nhưng không có khung thống nhất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IPA framework: Interaction Function + Layer Pooling + Layer Aggregator</w:t>
      </w:r>
    </w:p>
    <w:p>
      <w:pPr>
        <w:pStyle w:val="ListBullet"/>
      </w:pPr>
      <w:r>
        <w:t>Dimensional collapse analysis</w:t>
      </w:r>
    </w:p>
    <w:p>
      <w:pPr>
        <w:pStyle w:val="ListBullet"/>
      </w:pPr>
      <w:r>
        <w:t>Giới thiệu mô hình mới PFL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Framework thống nhất phân loại hầu hết mô hình CTR hiện tại</w:t>
      </w:r>
    </w:p>
    <w:p>
      <w:pPr>
        <w:pStyle w:val="ListBullet"/>
      </w:pPr>
      <w:r>
        <w:t>PFL: hiệu suất cạnh tranh với SOTA</w:t>
      </w:r>
    </w:p>
    <w:p>
      <w:pPr>
        <w:pStyle w:val="ListBullet"/>
      </w:pPr>
      <w:r>
        <w:t>Triển khai sản xuất tại Tencent</w:t>
      </w:r>
    </w:p>
    <w:p>
      <w:pPr>
        <w:pStyle w:val="ListBullet"/>
      </w:pPr>
      <w:r>
        <w:t>Cải thiện GMV trong online A/B testing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Phân tích dimensional collapse chưa chi tiết</w:t>
      </w:r>
    </w:p>
    <w:p>
      <w:pPr>
        <w:pStyle w:val="ListBullet"/>
      </w:pPr>
      <w:r>
        <w:t>Scope chủ yếu trên CTR advertising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