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Review Paper: TF4CTR: Twin Focus Framework for CTR Prediction via Adaptive Sample Differentiation</w:t>
      </w:r>
    </w:p>
    <w:p>
      <w:r>
        <w:rPr>
          <w:b/>
        </w:rPr>
        <w:t xml:space="preserve">ArXiv ID: </w:t>
      </w:r>
      <w:r>
        <w:t>2405.03167 (https://arxiv.org/abs/2405.03167)</w:t>
      </w:r>
      <w:r>
        <w:br/>
      </w:r>
      <w:r>
        <w:rPr>
          <w:b/>
        </w:rPr>
        <w:t xml:space="preserve">Năm: </w:t>
      </w:r>
      <w:r>
        <w:t>2024</w:t>
      </w:r>
      <w:r>
        <w:br/>
      </w:r>
      <w:r>
        <w:rPr>
          <w:b/>
        </w:rPr>
        <w:t xml:space="preserve">Nhóm: </w:t>
      </w:r>
      <w:r>
        <w:t>1 - Dự đoán tỷ lệ nhấp chuột (CTR) — Kiến trúc mô hình</w:t>
      </w:r>
    </w:p>
    <w:p>
      <w:r>
        <w:t>──────────────────────────────────────────────────</w:t>
      </w:r>
    </w:p>
    <w:p>
      <w:pPr>
        <w:pStyle w:val="Heading1"/>
      </w:pPr>
      <w:r>
        <w:t>1. Paper này đang nghiên cứu gì?</w:t>
      </w:r>
    </w:p>
    <w:p>
      <w:r>
        <w:t>Xử lý vấn đề mô hình coi đều tất cả samples:</w:t>
      </w:r>
    </w:p>
    <w:p>
      <w:pPr>
        <w:pStyle w:val="ListBullet"/>
      </w:pPr>
      <w:r>
        <w:t>Thiên về easy samples</w:t>
      </w:r>
    </w:p>
    <w:p>
      <w:pPr>
        <w:pStyle w:val="ListBullet"/>
      </w:pPr>
      <w:r>
        <w:t>Differentiated encoders nhận tín hiệu supervision giống nhau</w:t>
      </w:r>
    </w:p>
    <w:p>
      <w:pPr>
        <w:pStyle w:val="Heading1"/>
      </w:pPr>
      <w:r>
        <w:t>2. Phương pháp sử dụng</w:t>
      </w:r>
    </w:p>
    <w:p>
      <w:pPr>
        <w:pStyle w:val="ListBullet"/>
      </w:pPr>
      <w:r>
        <w:t>Sample Selection Embedding Module (SSEM): phân biệt samples ở bottom layer</w:t>
      </w:r>
    </w:p>
    <w:p>
      <w:pPr>
        <w:pStyle w:val="ListBullet"/>
      </w:pPr>
      <w:r>
        <w:t>Twin Focus (TF) Loss: supervision signals khác nhau cho simple &amp; complex encoders</w:t>
      </w:r>
    </w:p>
    <w:p>
      <w:pPr>
        <w:pStyle w:val="ListBullet"/>
      </w:pPr>
      <w:r>
        <w:t>Dynamic Fusion Module (DFM): kết hợp dynamic feature interaction</w:t>
      </w:r>
    </w:p>
    <w:p>
      <w:pPr>
        <w:pStyle w:val="Heading1"/>
      </w:pPr>
      <w:r>
        <w:t>3. Thành tựu đạt được</w:t>
      </w:r>
    </w:p>
    <w:p>
      <w:pPr>
        <w:pStyle w:val="ListBullet"/>
      </w:pPr>
      <w:r>
        <w:t>Hiệu suất cải thiện trên 5 real-world datasets</w:t>
      </w:r>
    </w:p>
    <w:p>
      <w:pPr>
        <w:pStyle w:val="ListBullet"/>
      </w:pPr>
      <w:r>
        <w:t>Model-agnostic, nâng cao các baselines khác nhau</w:t>
      </w:r>
    </w:p>
    <w:p>
      <w:pPr>
        <w:pStyle w:val="ListBullet"/>
      </w:pPr>
      <w:r>
        <w:t>Chấp nhận TCSS</w:t>
      </w:r>
    </w:p>
    <w:p>
      <w:pPr>
        <w:pStyle w:val="Heading1"/>
      </w:pPr>
      <w:r>
        <w:t>4. Hạn chế</w:t>
      </w:r>
    </w:p>
    <w:p>
      <w:pPr>
        <w:pStyle w:val="ListBullet"/>
      </w:pPr>
      <w:r>
        <w:t>Không thảo luận computational overhead</w:t>
      </w:r>
    </w:p>
    <w:p>
      <w:pPr>
        <w:pStyle w:val="ListBullet"/>
      </w:pPr>
      <w:r>
        <w:t>Hiệu suất cải thiện khiêm tốn trên một số datasets</w:t>
      </w:r>
    </w:p>
    <w:p>
      <w:pPr>
        <w:pStyle w:val="ListBullet"/>
      </w:pPr>
      <w:r>
        <w:t>Phức tạp điều chỉnh hyperparameters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