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MIRRN: Multi-granularity Interest Retrieval and Refinement Network for Long-Term User Behavior Modeling in CTR</w:t>
      </w:r>
    </w:p>
    <w:p>
      <w:r>
        <w:rPr>
          <w:b/>
        </w:rPr>
        <w:t xml:space="preserve">ArXiv ID: </w:t>
      </w:r>
      <w:r>
        <w:t>2411.15005 (https://arxiv.org/abs/2411.15005)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mô hình hóa hành vi người dùng dài hạn trong CTR:</w:t>
      </w:r>
    </w:p>
    <w:p>
      <w:pPr>
        <w:pStyle w:val="ListBullet"/>
      </w:pPr>
      <w:r>
        <w:t>Phương pháp chỉ dựa thông tin mục tiêu bỏ qua đa dạng lợi ích</w:t>
      </w:r>
    </w:p>
    <w:p>
      <w:pPr>
        <w:pStyle w:val="ListBullet"/>
      </w:pPr>
      <w:r>
        <w:t>Bỏ qua mối quan hệ tuần tự, tương tác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Xây dựng truy vấn từ hành vi ở khoảng thời gian khác nhau (multi-granularity)</w:t>
      </w:r>
    </w:p>
    <w:p>
      <w:pPr>
        <w:pStyle w:val="ListBullet"/>
      </w:pPr>
      <w:r>
        <w:t>Multi-head Fourier transformer học thông tin tuần tự &amp; tương tác</w:t>
      </w:r>
    </w:p>
    <w:p>
      <w:pPr>
        <w:pStyle w:val="ListBullet"/>
      </w:pPr>
      <w:r>
        <w:t>Multi-head target attention đánh giá tác động lợi ích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Vượt trội SOTA trong thử nghiệm</w:t>
      </w:r>
    </w:p>
    <w:p>
      <w:pPr>
        <w:pStyle w:val="ListBullet"/>
      </w:pPr>
      <w:r>
        <w:t>A/B test Huawei Music: +1.32% bài hát nghe, +0.55% thời gian nghe</w:t>
      </w:r>
    </w:p>
    <w:p>
      <w:pPr>
        <w:pStyle w:val="ListBullet"/>
      </w:pPr>
      <w:r>
        <w:t>Code công khai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thảo luận chi tiết hạn chế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