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MSD: Balancing Efficiency and Effectiveness - An LLM-Infused Approach for Optimized CTR Prediction</w:t>
      </w:r>
    </w:p>
    <w:p>
      <w:r>
        <w:rPr>
          <w:b/>
        </w:rPr>
        <w:t xml:space="preserve">ArXiv ID: </w:t>
      </w:r>
      <w:r>
        <w:t>2412.06860 (https://arxiv.org/abs/2412.06860)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CTR prediction cần nắm bắt thông tin ngữ nghĩa sâu sắc:</w:t>
      </w:r>
    </w:p>
    <w:p>
      <w:pPr>
        <w:pStyle w:val="ListBullet"/>
      </w:pPr>
      <w:r>
        <w:t>Phương pháp truyền thống không mô hình hóa hiệu quả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MSD (Multi-level Deep Semantic Information Infused CTR via Distillation)</w:t>
      </w:r>
    </w:p>
    <w:p>
      <w:pPr>
        <w:pStyle w:val="ListBullet"/>
      </w:pPr>
      <w:r>
        <w:t>Dùng LLM trích xuất &amp; chưng cất thông tin vào mô hình compact</w:t>
      </w:r>
    </w:p>
    <w:p>
      <w:pPr>
        <w:pStyle w:val="ListBullet"/>
      </w:pPr>
      <w:r>
        <w:t>Kết hợp distillation để giữ hiệu suất, giảm chi phí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A/B test Meituan: vượt trội CPM &amp; CTR so với baseline</w:t>
      </w:r>
    </w:p>
    <w:p>
      <w:pPr>
        <w:pStyle w:val="ListBullet"/>
      </w:pPr>
      <w:r>
        <w:t>Cân bằng hiệu suất cao + tiêu thụ tài nguyên tối ưu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Không chi tiết thách thức kỹ thuật cụ thể</w:t>
      </w:r>
    </w:p>
    <w:p>
      <w:pPr>
        <w:pStyle w:val="ListBullet"/>
      </w:pPr>
      <w:r>
        <w:t>Overhead chi phí LLM inference trong serving chưa rõ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