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Toward a Benchmark for CTR Prediction in Online Advertising: Datasets, Evaluation Protocols and Perspectives</w:t>
      </w:r>
    </w:p>
    <w:p>
      <w:r>
        <w:rPr>
          <w:b/>
        </w:rPr>
        <w:t xml:space="preserve">ArXiv ID: </w:t>
      </w:r>
      <w:r>
        <w:t>2512.01179 (https://arxiv.org/abs/2512.01179)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nhu cầu chuẩn hóa đánh giá trong CTR prediction:</w:t>
      </w:r>
    </w:p>
    <w:p>
      <w:pPr>
        <w:pStyle w:val="ListBullet"/>
      </w:pPr>
      <w:r>
        <w:t>Phát triển nền tảng benchmark thống nhất</w:t>
      </w:r>
    </w:p>
    <w:p>
      <w:pPr>
        <w:pStyle w:val="ListBullet"/>
      </w:pPr>
      <w:r>
        <w:t>Xử lý sự phân mảnh trong cách đánh giá các mô hình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Platform Bench-CTR với interface linh hoạt cho datasets và thành phần mô hình</w:t>
      </w:r>
    </w:p>
    <w:p>
      <w:pPr>
        <w:pStyle w:val="ListBullet"/>
      </w:pPr>
      <w:r>
        <w:t>Xây dựng các giao thức đánh giá toàn diện sử dụng datasets thực tế và tổng hợp</w:t>
      </w:r>
    </w:p>
    <w:p>
      <w:pPr>
        <w:pStyle w:val="ListBullet"/>
      </w:pPr>
      <w:r>
        <w:t>Nghiên cứu so sánh từ mô hình thống kê đến LLM trên 5 datasets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LLM cho thấy data efficiency đáng kể: đạt hiệu suất tương đương với 2% dữ liệu huấn luyện</w:t>
      </w:r>
    </w:p>
    <w:p>
      <w:pPr>
        <w:pStyle w:val="ListBullet"/>
      </w:pPr>
      <w:r>
        <w:t>Cung cấp nền tảng benchmark thống nhất cho cộng đồng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Hiệu suất đạt mức bão hòa sau 2016 trên các benchmark tiêu chuẩn</w:t>
      </w:r>
    </w:p>
    <w:p>
      <w:pPr>
        <w:pStyle w:val="ListBullet"/>
      </w:pPr>
      <w:r>
        <w:t>Kết quả phụ thuộc vào các datasets cụ thể trong benchmark</w:t>
      </w:r>
    </w:p>
    <w:p>
      <w:pPr>
        <w:pStyle w:val="ListBullet"/>
      </w:pPr>
      <w:r>
        <w:t>Phương pháp hiện tại có thể cần cách tiếp cận mới để tiến bộ thêm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