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DGenCTR: Towards a Universal Generative Paradigm for CTR Prediction via Discrete Diffusion</w:t>
      </w:r>
    </w:p>
    <w:p>
      <w:r>
        <w:rPr>
          <w:b/>
        </w:rPr>
        <w:t xml:space="preserve">ArXiv ID: </w:t>
      </w:r>
      <w:r>
        <w:t>2508.14500 (https://arxiv.org/abs/2508.14500)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Xử lý CTR prediction bằng cách tiếp cận generative:</w:t>
      </w:r>
    </w:p>
    <w:p>
      <w:pPr>
        <w:pStyle w:val="ListBullet"/>
      </w:pPr>
      <w:r>
        <w:t>Phát triển framework cụ thể cho CTR thay vì sử dụng phương pháp tạo chuỗi</w:t>
      </w:r>
    </w:p>
    <w:p>
      <w:pPr>
        <w:pStyle w:val="ListBullet"/>
      </w:pPr>
      <w:r>
        <w:t>Bảo tồn các tương tác cross-feature quan trọng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Hai giai đoạn:</w:t>
      </w:r>
    </w:p>
    <w:p>
      <w:pPr>
        <w:pStyle w:val="ListBullet"/>
      </w:pPr>
      <w:r>
        <w:t>Pre-training generative dựa trên discrete diffusion</w:t>
      </w:r>
    </w:p>
    <w:p>
      <w:pPr>
        <w:pStyle w:val="ListBullet"/>
      </w:pPr>
      <w:r>
        <w:t>Fine-tuning có giám sát hướng tới CTR</w:t>
      </w:r>
    </w:p>
    <w:p>
      <w:pPr>
        <w:pStyle w:val="ListBullet"/>
      </w:pPr>
      <w:r>
        <w:t>Hoạt động ở mức mẫu chứ không phải tạo các mục riêng lẻ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Xác thực thông qua cả thí nghiệm offline lẫn A/B testing trực tuyến</w:t>
      </w:r>
    </w:p>
    <w:p>
      <w:pPr>
        <w:pStyle w:val="ListBullet"/>
      </w:pPr>
      <w:r>
        <w:t>Chứng minh hiệu quả trong các ứng dụng thực tế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Chưa chi tiết các hạn chế cụ thể</w:t>
      </w:r>
    </w:p>
    <w:p>
      <w:pPr>
        <w:pStyle w:val="ListBullet"/>
      </w:pPr>
      <w:r>
        <w:t>Bài báo tương đối ngắn (11 trang)</w:t>
      </w:r>
    </w:p>
    <w:p>
      <w:pPr>
        <w:pStyle w:val="ListBullet"/>
      </w:pPr>
      <w:r>
        <w:t>Khả năng tổng quát hóa trên các datasets đa dạng chưa rõ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