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DMF: Decoupled Multimodal Fusion for User Interest Modeling in CTR Prediction</w:t>
      </w:r>
    </w:p>
    <w:p>
      <w:r>
        <w:rPr>
          <w:b/>
        </w:rPr>
        <w:t xml:space="preserve">ArXiv ID: </w:t>
      </w:r>
      <w:r>
        <w:t>2510.11066 (https://arxiv.org/abs/2510.11066)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Tích hợp dữ liệu đa phương thức (văn bản, hình ảnh) với collaborative filtering dựa trên ID:</w:t>
      </w:r>
    </w:p>
    <w:p>
      <w:pPr>
        <w:pStyle w:val="ListBullet"/>
      </w:pPr>
      <w:r>
        <w:t>Mô hình hiện tại xử lý các loại dữ liệu riêng rẽ</w:t>
      </w:r>
    </w:p>
    <w:p>
      <w:pPr>
        <w:pStyle w:val="ListBullet"/>
      </w:pPr>
      <w:r>
        <w:t>Bỏ lỡ tương tác giữa ngữ nghĩa nội dung và tín hiệu hành vi người dùng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DMF: strategy "modality-enriched modeling" tạo target-aware features</w:t>
      </w:r>
    </w:p>
    <w:p>
      <w:pPr>
        <w:pStyle w:val="ListBullet"/>
      </w:pPr>
      <w:r>
        <w:t>Kết nối các embedding spaces khác nhau</w:t>
      </w:r>
    </w:p>
    <w:p>
      <w:pPr>
        <w:pStyle w:val="ListBullet"/>
      </w:pPr>
      <w:r>
        <w:t>Cơ chế attention tối ưu hóa inference: decouples computations để giảm chi phí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Triển khai trên nền tảng e-commerce Lazada:</w:t>
      </w:r>
    </w:p>
    <w:p>
      <w:pPr>
        <w:pStyle w:val="ListBullet"/>
      </w:pPr>
      <w:r>
        <w:t>CTCVR +5.30% (relative)</w:t>
      </w:r>
    </w:p>
    <w:p>
      <w:pPr>
        <w:pStyle w:val="ListBullet"/>
      </w:pPr>
      <w:r>
        <w:t>GMV +7.43%</w:t>
      </w:r>
    </w:p>
    <w:p>
      <w:pPr>
        <w:pStyle w:val="ListBullet"/>
      </w:pPr>
      <w:r>
        <w:t>Chi phí tính toán tối thiểu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Abstract không nêu rõ hạn chế</w:t>
      </w:r>
    </w:p>
    <w:p>
      <w:pPr>
        <w:pStyle w:val="ListBullet"/>
      </w:pPr>
      <w:r>
        <w:t>Tập trung chủ yếu vào kết quả dương tính từ offline experiments và production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