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SUAN: Exploring Scaling Laws of CTR Model for Online Performance Improvement</w:t>
      </w:r>
    </w:p>
    <w:p>
      <w:r>
        <w:rPr>
          <w:b/>
        </w:rPr>
        <w:t xml:space="preserve">ArXiv ID: </w:t>
      </w:r>
      <w:r>
        <w:t>2508.15326 (https://arxiv.org/abs/2508.15326)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Khám phá scaling laws trong mô hình CTR prediction (tương tự như trong LLMs):</w:t>
      </w:r>
    </w:p>
    <w:p>
      <w:pPr>
        <w:pStyle w:val="ListBullet"/>
      </w:pPr>
      <w:r>
        <w:t>Cân bằng độ chính xác với ràng buộc deployment thực tiễn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SUAN (Stacked Unified Attention Network) với UAB làm behavior sequence encoders</w:t>
      </w:r>
    </w:p>
    <w:p>
      <w:pPr>
        <w:pStyle w:val="ListBullet"/>
      </w:pPr>
      <w:r>
        <w:t>Knowledge distillation từ SUAN high-grade sang LightSUAN (lightweight)</w:t>
      </w:r>
    </w:p>
    <w:p>
      <w:pPr>
        <w:pStyle w:val="ListBullet"/>
      </w:pPr>
      <w:r>
        <w:t>Sparse self-attention và parallel inference strategies</w:t>
      </w:r>
    </w:p>
    <w:p>
      <w:pPr>
        <w:pStyle w:val="ListBullet"/>
      </w:pPr>
      <w:r>
        <w:t>Online distillation training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LightSUAN triển khai online: CTR +2.81%, CPM +1.69%</w:t>
      </w:r>
    </w:p>
    <w:p>
      <w:pPr>
        <w:pStyle w:val="ListBullet"/>
      </w:pPr>
      <w:r>
        <w:t>Chứng minh scaling laws trên 3 order magnitude</w:t>
      </w:r>
    </w:p>
    <w:p>
      <w:pPr>
        <w:pStyle w:val="ListBullet"/>
      </w:pPr>
      <w:r>
        <w:t>Distilled lightweight version vượt performance baseline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Tradeoff giữa inference time</w:t>
      </w:r>
    </w:p>
    <w:p>
      <w:pPr>
        <w:pStyle w:val="ListBullet"/>
      </w:pPr>
      <w:r>
        <w:t>Cần knowledge distillation để đạt deployment feasibility</w:t>
      </w:r>
    </w:p>
    <w:p>
      <w:pPr>
        <w:pStyle w:val="ListBullet"/>
      </w:pPr>
      <w:r>
        <w:t>Các hạn chế cụ thể không được chi tiết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