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QIN: Quadratic Interest Network for Multimodal Click-Through Rate Prediction</w:t>
      </w:r>
    </w:p>
    <w:p>
      <w:r>
        <w:rPr>
          <w:b/>
        </w:rPr>
        <w:t xml:space="preserve">ArXiv ID: </w:t>
      </w:r>
      <w:r>
        <w:t>2504.17699 (https://arxiv.org/abs/2504.17699)</w:t>
      </w:r>
      <w:r>
        <w:br/>
      </w:r>
      <w:r>
        <w:rPr>
          <w:b/>
        </w:rPr>
        <w:t xml:space="preserve">Năm: </w:t>
      </w:r>
      <w:r>
        <w:t>2025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Multimodal CTR prediction với text, images, behavioral logs:</w:t>
      </w:r>
    </w:p>
    <w:p>
      <w:pPr>
        <w:pStyle w:val="ListBullet"/>
      </w:pPr>
      <w:r>
        <w:t>Sử dụng rich semantic information từ multiple modalities</w:t>
      </w:r>
    </w:p>
    <w:p>
      <w:pPr>
        <w:pStyle w:val="ListBullet"/>
      </w:pPr>
      <w:r>
        <w:t>Với low-latency requirements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Adaptive sparse target attention mechanisms: trích xuất multimodal user behavior patterns</w:t>
      </w:r>
    </w:p>
    <w:p>
      <w:pPr>
        <w:pStyle w:val="ListBullet"/>
      </w:pPr>
      <w:r>
        <w:t>Quadratic Neural Networks: xác định high-order feature interactions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AUC = 0.9798 trên competition leaderboard</w:t>
      </w:r>
    </w:p>
    <w:p>
      <w:pPr>
        <w:pStyle w:val="ListBullet"/>
      </w:pPr>
      <w:r>
        <w:t>Rank 2: Multimodal CTR Prediction Challenge Track, WWW 2025 EReL@MIR Workshop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Abstract không nêu rõ hạn chế</w:t>
      </w:r>
    </w:p>
    <w:p>
      <w:pPr>
        <w:pStyle w:val="ListBullet"/>
      </w:pPr>
      <w:r>
        <w:t>Tradeoff giữa semantic richness và latency constraints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