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PRECTR: A Synergistic Framework for Integrating Personalized Search Relevance Matching and CTR Prediction</w:t>
      </w:r>
    </w:p>
    <w:p>
      <w:r>
        <w:rPr>
          <w:b/>
        </w:rPr>
        <w:t xml:space="preserve">ArXiv ID: </w:t>
      </w:r>
      <w:r>
        <w:t>2503.18395 (https://arxiv.org/abs/2503.18395)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fundamental challenge: Traditional approach xử lý search relevance matching và CTR prediction như separate tasks:</w:t>
      </w:r>
    </w:p>
    <w:p>
      <w:pPr>
        <w:pStyle w:val="ListBullet"/>
      </w:pPr>
      <w:r>
        <w:t>Tạo inconsistencies giữa các models</w:t>
      </w:r>
    </w:p>
    <w:p>
      <w:pPr>
        <w:pStyle w:val="ListBullet"/>
      </w:pPr>
      <w:r>
        <w:t>Relevance models chỉ focus vào objective text matching, bỏ qua personalized user preferences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Unified Framework: Integrate CTR prediction và relevance matching into one framework</w:t>
      </w:r>
    </w:p>
    <w:p>
      <w:pPr>
        <w:pStyle w:val="ListBullet"/>
      </w:pPr>
      <w:r>
        <w:t>Personalization Enhancement: Analyze past users' preferences cho similar queries để incorporate user-specific relevance preferences</w:t>
      </w:r>
    </w:p>
    <w:p>
      <w:pPr>
        <w:pStyle w:val="ListBullet"/>
      </w:pPr>
      <w:r>
        <w:t>Two-stage training strategy + semantic consistency regularization để prevent recommending irrelevant high-CTR items</w:t>
      </w:r>
    </w:p>
    <w:p>
      <w:pPr>
        <w:pStyle w:val="ListBullet"/>
      </w:pPr>
      <w:r>
        <w:t>Conditional probability fusion mechanism kết hợp cả hai tasks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Unified modeling outperforms conventional divide-and-conquer paradigm</w:t>
      </w:r>
    </w:p>
    <w:p>
      <w:pPr>
        <w:pStyle w:val="ListBullet"/>
      </w:pPr>
      <w:r>
        <w:t>Experiments trên proprietary production datasets</w:t>
      </w:r>
    </w:p>
    <w:p>
      <w:pPr>
        <w:pStyle w:val="ListBullet"/>
      </w:pPr>
      <w:r>
        <w:t>Online A/B testing chứng minh practical effectiveness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Kết quả chỉ trên proprietary/production datasets (không public)</w:t>
      </w:r>
    </w:p>
    <w:p>
      <w:pPr>
        <w:pStyle w:val="ListBullet"/>
      </w:pPr>
      <w:r>
        <w:t>Không có benchmark trên standard datasets</w:t>
      </w:r>
    </w:p>
    <w:p>
      <w:pPr>
        <w:pStyle w:val="ListBullet"/>
      </w:pPr>
      <w:r>
        <w:t>Limited details về specific improvement percentages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