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HyFormer: Revisiting the Roles of Sequence Modeling and Feature Interaction in CTR Prediction</w:t>
      </w:r>
    </w:p>
    <w:p>
      <w:r>
        <w:rPr>
          <w:b/>
        </w:rPr>
        <w:t xml:space="preserve">ArXiv ID: </w:t>
      </w:r>
      <w:r>
        <w:t>2601.12681 (https://arxiv.org/abs/2601.12681)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bài toán xử lý đồng thời dữ liệu sequence người dùng dài và các đặc trưng không-sequence trong hệ thống recommendation công nghiệp:</w:t>
      </w:r>
    </w:p>
    <w:p>
      <w:pPr>
        <w:pStyle w:val="ListBullet"/>
      </w:pPr>
      <w:r>
        <w:t>Các phương pháp truyền thống tách biệt xử lý sequence modeling và feature interaction một cách tuần tự</w:t>
      </w:r>
    </w:p>
    <w:p>
      <w:pPr>
        <w:pStyle w:val="ListBullet"/>
      </w:pPr>
      <w:r>
        <w:t>Mục tiêu: kết hợp cả hai tác vụ hiệu quả dưới các ràng buộc tính toán</w:t>
      </w:r>
    </w:p>
    <w:p>
      <w:pPr>
        <w:pStyle w:val="Heading1"/>
      </w:pPr>
      <w:r>
        <w:t>2. Phương pháp sử dụng</w:t>
      </w:r>
    </w:p>
    <w:p>
      <w:r>
        <w:t>Hybrid Transformer (HyFormer):</w:t>
      </w:r>
    </w:p>
    <w:p>
      <w:pPr>
        <w:pStyle w:val="ListBullet"/>
      </w:pPr>
      <w:r>
        <w:t>Query Decoding: Mở rộng đặc trưng không-sequence thành Global Tokens và decode sequences dài bằng key-value representations theo từng layer</w:t>
      </w:r>
    </w:p>
    <w:p>
      <w:pPr>
        <w:pStyle w:val="ListBullet"/>
      </w:pPr>
      <w:r>
        <w:t>Query Boosting: Tăng cường cross-query và cross-sequence interactions thông qua efficient token mixing</w:t>
      </w:r>
    </w:p>
    <w:p>
      <w:pPr>
        <w:pStyle w:val="ListBullet"/>
      </w:pPr>
      <w:r>
        <w:t>Cơ chế lặp lại qua các layers để tinh chỉnh semantic representations từng bước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Vượt trội so với baseline LONGER và RankMixer với budget tính toán tương đương</w:t>
      </w:r>
    </w:p>
    <w:p>
      <w:pPr>
        <w:pStyle w:val="ListBullet"/>
      </w:pPr>
      <w:r>
        <w:t>Khả năng scaling tốt khi tăng parameters và computational operations</w:t>
      </w:r>
    </w:p>
    <w:p>
      <w:pPr>
        <w:pStyle w:val="ListBullet"/>
      </w:pPr>
      <w:r>
        <w:t>Kiểm chứng online: A/B testing trong hệ thống production có traffic cao</w:t>
      </w:r>
    </w:p>
    <w:p>
      <w:pPr>
        <w:pStyle w:val="ListBullet"/>
      </w:pPr>
      <w:r>
        <w:t>Cải thiện đáng kể so với các mô hình state-of-the-art đang được triển khai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nêu rõ cụ thể đơn vị/phần trăm cải thiện</w:t>
      </w:r>
    </w:p>
    <w:p>
      <w:pPr>
        <w:pStyle w:val="ListBullet"/>
      </w:pPr>
      <w:r>
        <w:t>Độ phức tạp của hybrid architecture có thể làm khó khăn cho việc maintain</w:t>
      </w:r>
    </w:p>
    <w:p>
      <w:pPr>
        <w:pStyle w:val="ListBullet"/>
      </w:pPr>
      <w:r>
        <w:t>Chi phí training có thể cao do chuỗi lặp qua layers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