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Learning to Collide: Recommendation on Collision-aware Embeddings</w:t>
      </w:r>
    </w:p>
    <w:p>
      <w:r>
        <w:rPr>
          <w:b/>
        </w:rPr>
        <w:t xml:space="preserve">ArXiv ID: </w:t>
      </w:r>
      <w:r>
        <w:t>2203.15837 (https://arxiv.org/abs/2203.15837)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Nén embedding bằng quản lý thông minh collision giữa categorical variables</w:t>
      </w:r>
    </w:p>
    <w:p>
      <w:pPr>
        <w:pStyle w:val="Heading1"/>
      </w:pPr>
      <w:r>
        <w:t>2. Phương pháp sử dụng</w:t>
      </w:r>
    </w:p>
    <w:p>
      <w:r>
        <w:t>Learned Hash Functions khuyến khích collision giữa IDs tương tự ngữ nghĩa</w:t>
      </w:r>
    </w:p>
    <w:p>
      <w:pPr>
        <w:pStyle w:val="Heading1"/>
      </w:pPr>
      <w:r>
        <w:t>3. Thành tựu đạt được</w:t>
      </w:r>
    </w:p>
    <w:p>
      <w:r>
        <w:t>Cải thiện hiệu năng so với conventional hashing, hoạt động trên production</w:t>
      </w:r>
    </w:p>
    <w:p>
      <w:pPr>
        <w:pStyle w:val="Heading1"/>
      </w:pPr>
      <w:r>
        <w:t>4. Hạn chế</w:t>
      </w:r>
    </w:p>
    <w:p>
      <w:r>
        <w:t>Ongoing work, cải thiện nhỏ so với baselines, thiếu ablation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