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Frequency-aware Caching for Embedding Tables in Large-scale Recommendation Models</w:t>
      </w:r>
    </w:p>
    <w:p>
      <w:r>
        <w:rPr>
          <w:b/>
        </w:rPr>
        <w:t xml:space="preserve">ArXiv ID: </w:t>
      </w:r>
      <w:r>
        <w:t>2208.05321 (https://arxiv.org/abs/2208.05321)</w:t>
      </w:r>
      <w:r>
        <w:br/>
      </w:r>
      <w:r>
        <w:rPr>
          <w:b/>
        </w:rPr>
        <w:t xml:space="preserve">Năm: </w:t>
      </w:r>
      <w:r>
        <w:t>2022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Quản lý bảng embedding không vừa GPU memory, dùng frequency statistics</w:t>
      </w:r>
    </w:p>
    <w:p>
      <w:pPr>
        <w:pStyle w:val="Heading1"/>
      </w:pPr>
      <w:r>
        <w:t>2. Phương pháp sử dụng</w:t>
      </w:r>
    </w:p>
    <w:p>
      <w:r>
        <w:t>Frequency-aware software cache, dynamic management giữa CPU-GPU, hybrid parallel training</w:t>
      </w:r>
    </w:p>
    <w:p>
      <w:pPr>
        <w:pStyle w:val="Heading1"/>
      </w:pPr>
      <w:r>
        <w:t>3. Thành tựu đạt được</w:t>
      </w:r>
    </w:p>
    <w:p>
      <w:r>
        <w:t>Giữ chỉ 1.5% embedding parameters trên GPU vẫn đạt decent training speed</w:t>
      </w:r>
    </w:p>
    <w:p>
      <w:pPr>
        <w:pStyle w:val="Heading1"/>
      </w:pPr>
      <w:r>
        <w:t>4. Hạn chế</w:t>
      </w:r>
    </w:p>
    <w:p>
      <w:r>
        <w:t>Phụ thuộc phân bố tần suất bị lệch, lợi ích phụ thuộc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