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AutoShard: Automated Embedding Table Sharding for Recommender Systems</w:t>
      </w:r>
    </w:p>
    <w:p>
      <w:r>
        <w:rPr>
          <w:b/>
        </w:rPr>
        <w:t xml:space="preserve">ArXiv ID: </w:t>
      </w:r>
      <w:r>
        <w:t>2208.06399 (https://arxiv.org/abs/2208.06399)</w:t>
      </w:r>
      <w:r>
        <w:br/>
      </w:r>
      <w:r>
        <w:rPr>
          <w:b/>
        </w:rPr>
        <w:t xml:space="preserve">Năm: </w:t>
      </w:r>
      <w:r>
        <w:t>2022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Tự động hóa phân chia bảng embedding trên thiết bị phân tán, bài toán NP-hard</w:t>
      </w:r>
    </w:p>
    <w:p>
      <w:pPr>
        <w:pStyle w:val="Heading1"/>
      </w:pPr>
      <w:r>
        <w:t>2. Phương pháp sử dụng</w:t>
      </w:r>
    </w:p>
    <w:p>
      <w:r>
        <w:t>Neural Cost Model + Deep RL, transfer learning giữa bài toán sharding. Meta production</w:t>
      </w:r>
    </w:p>
    <w:p>
      <w:pPr>
        <w:pStyle w:val="Heading1"/>
      </w:pPr>
      <w:r>
        <w:t>3. Thành tựu đạt được</w:t>
      </w:r>
    </w:p>
    <w:p>
      <w:r>
        <w:t>Tốt hơn heuristic, policy transferable không cần fine-tuning, xử lý hàng trăm bảng trong vài giây</w:t>
      </w:r>
    </w:p>
    <w:p>
      <w:pPr>
        <w:pStyle w:val="Heading1"/>
      </w:pPr>
      <w:r>
        <w:t>4. Hạn chế</w:t>
      </w:r>
    </w:p>
    <w:p>
      <w:r>
        <w:t>Đo lường chi phí embedding khó khăn, NP-hard hạn chế giải pháp tối ưu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