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Memory Efficient Mixed-Precision Optimizers</w:t>
      </w:r>
    </w:p>
    <w:p>
      <w:r>
        <w:rPr>
          <w:b/>
        </w:rPr>
        <w:t xml:space="preserve">ArXiv ID: </w:t>
      </w:r>
      <w:r>
        <w:t>2309.12381 (https://arxiv.org/abs/2309.12381)</w:t>
      </w:r>
      <w:r>
        <w:br/>
      </w:r>
      <w:r>
        <w:rPr>
          <w:b/>
        </w:rPr>
        <w:t xml:space="preserve">Năm: </w:t>
      </w:r>
      <w:r>
        <w:t>2023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Giảm tiêu thụ bộ nhớ khi huấn luyện neural network bằng tối ưu floating-point arithmetic</w:t>
      </w:r>
    </w:p>
    <w:p>
      <w:pPr>
        <w:pStyle w:val="Heading1"/>
      </w:pPr>
      <w:r>
        <w:t>2. Phương pháp sử dụng</w:t>
      </w:r>
    </w:p>
    <w:p>
      <w:r>
        <w:t>Loại bỏ bản sao single-precision, kết hợp single và half-precision, tích hợp optimizer vào backpropagation</w:t>
      </w:r>
    </w:p>
    <w:p>
      <w:pPr>
        <w:pStyle w:val="Heading1"/>
      </w:pPr>
      <w:r>
        <w:t>3. Thành tựu đạt được</w:t>
      </w:r>
    </w:p>
    <w:p>
      <w:r>
        <w:t>Giảm 25% memory peak, tăng tốc 15%, duy trì accuracy</w:t>
      </w:r>
    </w:p>
    <w:p>
      <w:pPr>
        <w:pStyle w:val="Heading1"/>
      </w:pPr>
      <w:r>
        <w:t>4. Hạn chế</w:t>
      </w:r>
    </w:p>
    <w:p>
      <w:r>
        <w:t>Không rõ loại mô hình hưởng lợi nhất, thiếu thông tin scalability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