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Unified Embedding: Battle-Tested Feature Representations for Web-Scale ML Systems</w:t>
      </w:r>
    </w:p>
    <w:p>
      <w:r>
        <w:rPr>
          <w:b/>
        </w:rPr>
        <w:t xml:space="preserve">ArXiv ID: </w:t>
      </w:r>
      <w:r>
        <w:t>2305.12102 (https://arxiv.org/abs/2305.12102)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Bottleneck ML web-scale: biểu diễn hiệu quả hàng trăm features categorical high-cardinality</w:t>
      </w:r>
    </w:p>
    <w:p>
      <w:pPr>
        <w:pStyle w:val="Heading1"/>
      </w:pPr>
      <w:r>
        <w:t>2. Phương pháp sử dụng</w:t>
      </w:r>
    </w:p>
    <w:p>
      <w:r>
        <w:t>Feature Multiplexing: chia sẻ unified embedding space thay vì embeddings độc lập</w:t>
      </w:r>
    </w:p>
    <w:p>
      <w:pPr>
        <w:pStyle w:val="Heading1"/>
      </w:pPr>
      <w:r>
        <w:t>3. Thành tựu đạt được</w:t>
      </w:r>
    </w:p>
    <w:p>
      <w:r>
        <w:t>Pareto-optimal tradeoff trên 3 benchmarks, 5 hệ thống công nghiệp hàng tỷ users, NeurIPS 2023 Spotlight</w:t>
      </w:r>
    </w:p>
    <w:p>
      <w:pPr>
        <w:pStyle w:val="Heading1"/>
      </w:pPr>
      <w:r>
        <w:t>4. Hạn chế</w:t>
      </w:r>
    </w:p>
    <w:p>
      <w:r>
        <w:t>Không rõ ràng buộc hoặc trường hợp không phù hợp, yêu cầu thay đổi paradigm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