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HEAM: Heterogeneous Memory Architecture for Proactive In-Memory Computing Embedding Acceleration</w:t>
      </w:r>
    </w:p>
    <w:p>
      <w:r>
        <w:rPr>
          <w:b/>
        </w:rPr>
        <w:t xml:space="preserve">ArXiv ID: </w:t>
      </w:r>
      <w:r>
        <w:t>2402.04032 (https://arxiv.org/abs/2402.04032)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nút thắt tính toán trong lớp embedding:</w:t>
      </w:r>
    </w:p>
    <w:p>
      <w:pPr>
        <w:pStyle w:val="ListBullet"/>
      </w:pPr>
      <w:r>
        <w:t>Nén embedding tăng chi phí truy cập bộ nhớ và giao tiếp CPU-PIM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Hệ thống PIM hai cấp: base-die PIM + bank-group PIM trong HBM</w:t>
      </w:r>
    </w:p>
    <w:p>
      <w:pPr>
        <w:pStyle w:val="ListBullet"/>
      </w:pPr>
      <w:r>
        <w:t>Kiến trúc bộ nhớ dị hợp HBM-DIMM</w:t>
      </w:r>
    </w:p>
    <w:p>
      <w:pPr>
        <w:pStyle w:val="ListBullet"/>
      </w:pPr>
      <w:r>
        <w:t>SRAM caching + subtable duplication</w:t>
      </w:r>
    </w:p>
    <w:p>
      <w:pPr>
        <w:pStyle w:val="ListBullet"/>
      </w:pPr>
      <w:r>
        <w:t>Tối ưu cho weight-sharing (QR-trick, TT-Rec)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2.22x tăng tốc trong QR-trick</w:t>
      </w:r>
    </w:p>
    <w:p>
      <w:pPr>
        <w:pStyle w:val="ListBullet"/>
      </w:pPr>
      <w:r>
        <w:t>2.15x tăng tốc trong TT-Rec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Chuyên biệt cho weight-sharing, hạn chế tính áp dụng rộng</w:t>
      </w:r>
    </w:p>
    <w:p>
      <w:pPr>
        <w:pStyle w:val="ListBullet"/>
      </w:pPr>
      <w:r>
        <w:t>Overhead giao tiếp không thể hoàn toàn loại bỏ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