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DimGrow: Progressive Embedding Dimension Growing for Recommendation Systems</w:t>
      </w:r>
    </w:p>
    <w:p>
      <w:r>
        <w:rPr>
          <w:b/>
        </w:rPr>
        <w:t xml:space="preserve">ArXiv ID: </w:t>
      </w:r>
      <w:r>
        <w:t>2505.12683 (https://arxiv.org/abs/2505.12683)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vấn đề phân bổ tự động chiều embedding trên các trường dữ liệu khác nhau:</w:t>
      </w:r>
    </w:p>
    <w:p>
      <w:pPr>
        <w:pStyle w:val="ListBullet"/>
      </w:pPr>
      <w:r>
        <w:t>Thay vì sử dụng kích thước cố định cho tất cả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Khởi tạo mô hình với chiều embedding tối thiểu (1 chiều per field)</w:t>
      </w:r>
    </w:p>
    <w:p>
      <w:pPr>
        <w:pStyle w:val="ListBullet"/>
      </w:pPr>
      <w:r>
        <w:t>Sử dụng importance scoring để xác định trường nào cần mở rộng</w:t>
      </w:r>
    </w:p>
    <w:p>
      <w:pPr>
        <w:pStyle w:val="ListBullet"/>
      </w:pPr>
      <w:r>
        <w:t>Mở rộng chiều động khi importance vượt ngưỡng</w:t>
      </w:r>
    </w:p>
    <w:p>
      <w:pPr>
        <w:pStyle w:val="ListBullet"/>
      </w:pPr>
      <w:r>
        <w:t>Tránh tạo SuperNet đắt đỏ (memory-intensive)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Tối ưu hóa thành công chiều embedding ở cấp trường (field-level)</w:t>
      </w:r>
    </w:p>
    <w:p>
      <w:pPr>
        <w:pStyle w:val="ListBullet"/>
      </w:pPr>
      <w:r>
        <w:t>Giảm memory tiêu tốn khi training so với SuperNet truyền thống</w:t>
      </w:r>
    </w:p>
    <w:p>
      <w:pPr>
        <w:pStyle w:val="ListBullet"/>
      </w:pPr>
      <w:r>
        <w:t>Hiệu quả trên 3 datasets khuyến nghị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có chi tiết về hiệu suất định lượng cụ thể</w:t>
      </w:r>
    </w:p>
    <w:p>
      <w:pPr>
        <w:pStyle w:val="ListBullet"/>
      </w:pPr>
      <w:r>
        <w:t>Chỉ kiểm chứng trên miền khuyến nghị</w:t>
      </w:r>
    </w:p>
    <w:p>
      <w:pPr>
        <w:pStyle w:val="ListBullet"/>
      </w:pPr>
      <w:r>
        <w:t>Không cung cấp so sánh chi tiết về độ chính xác/hiệu năng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