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Two-Dimensional Sparse Parallelism for DLRM Training with Trillion-Parameter Embeddings</w:t>
      </w:r>
    </w:p>
    <w:p>
      <w:r>
        <w:rPr>
          <w:b/>
        </w:rPr>
        <w:t xml:space="preserve">ArXiv ID: </w:t>
      </w:r>
      <w:r>
        <w:t>2508.03854 (https://arxiv.org/abs/2508.03854)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Đạt khả năng mở rộng cho training DLRMs với embedding tables hàng triệu tham số:</w:t>
      </w:r>
    </w:p>
    <w:p>
      <w:pPr>
        <w:pStyle w:val="ListBullet"/>
      </w:pPr>
      <w:r>
        <w:t>Trên các GPU cluster khổng lồ (lên tới 4000 GPUs)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2D sparse parallelism: model parallelism + data parallelism</w:t>
      </w:r>
    </w:p>
    <w:p>
      <w:pPr>
        <w:pStyle w:val="ListBullet"/>
      </w:pPr>
      <w:r>
        <w:t>Momentum-scaled row-wise AdaGrad algorithm để ngăn suy giảm hiệu suất</w:t>
      </w:r>
    </w:p>
    <w:p>
      <w:pPr>
        <w:pStyle w:val="ListBullet"/>
      </w:pPr>
      <w:r>
        <w:t>Tối ưu hóa xử lý imbalance, straggler issues, communication overhead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Đạt nearly linear training speed scaling lên tới 4000 GPUs</w:t>
      </w:r>
    </w:p>
    <w:p>
      <w:pPr>
        <w:pStyle w:val="ListBullet"/>
      </w:pPr>
      <w:r>
        <w:t>Giữ nguyên hiệu suất mô hình</w:t>
      </w:r>
    </w:p>
    <w:p>
      <w:pPr>
        <w:pStyle w:val="ListBullet"/>
      </w:pPr>
      <w:r>
        <w:t>Benchmark mới cho efficient recommendation model training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Chỉ giới hạn trên DLRM</w:t>
      </w:r>
    </w:p>
    <w:p>
      <w:pPr>
        <w:pStyle w:val="ListBullet"/>
      </w:pPr>
      <w:r>
        <w:t>Khả năng áp dụng cho các loại mô hình khác không rõ</w:t>
      </w:r>
    </w:p>
    <w:p>
      <w:pPr>
        <w:pStyle w:val="ListBullet"/>
      </w:pPr>
      <w:r>
        <w:t>Không chi tiết các trade-offs cụ thể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