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Dissecting Embedding Bag Performance in DLRM Inference: A Comprehensive Study on Multi-GPU Deployment</w:t>
      </w:r>
    </w:p>
    <w:p>
      <w:r>
        <w:rPr>
          <w:b/>
        </w:rPr>
        <w:t xml:space="preserve">ArXiv ID: </w:t>
      </w:r>
      <w:r>
        <w:t>2512.05831 (https://arxiv.org/abs/2512.05831)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Phân tích chi tiết hiệu suất Embedding Bag kernels trong DLRMs khi phân tán trên nhiều GPUs:</w:t>
      </w:r>
    </w:p>
    <w:p>
      <w:pPr>
        <w:pStyle w:val="ListBullet"/>
      </w:pPr>
      <w:r>
        <w:t>Bảng embedding lớn phải trải dài trên nhiều GPUs, gây overhead communication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Đo lường hiệu suất Embedding Bag kernel trên H100 GPUs</w:t>
      </w:r>
    </w:p>
    <w:p>
      <w:pPr>
        <w:pStyle w:val="ListBullet"/>
      </w:pPr>
      <w:r>
        <w:t>Sử dụng NCCL và NVSHMEM libraries</w:t>
      </w:r>
    </w:p>
    <w:p>
      <w:pPr>
        <w:pStyle w:val="ListBullet"/>
      </w:pPr>
      <w:r>
        <w:t>Đánh giá qua: batch sizes, số lượng embedding tables, kích thước bảng, pooling factors, embedding dimensions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Cung cấp empirical performance projections cho phân tán large embedding tables</w:t>
      </w:r>
    </w:p>
    <w:p>
      <w:pPr>
        <w:pStyle w:val="ListBullet"/>
      </w:pPr>
      <w:r>
        <w:t>Xác định scalability limitations và communication bottlenecks</w:t>
      </w:r>
    </w:p>
    <w:p>
      <w:pPr>
        <w:pStyle w:val="ListBullet"/>
      </w:pPr>
      <w:r>
        <w:t>Benchmark cho H100 GPUs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Chỉ tập trung vào H100 GPUs; không tổng quát cho hardware khác</w:t>
      </w:r>
    </w:p>
    <w:p>
      <w:pPr>
        <w:pStyle w:val="ListBullet"/>
      </w:pPr>
      <w:r>
        <w:t>Chủ yếu empirical/measurement-focused, không đề xuất giải pháp tối ưu mới</w:t>
      </w:r>
    </w:p>
    <w:p>
      <w:pPr>
        <w:pStyle w:val="ListBullet"/>
      </w:pPr>
      <w:r>
        <w:t>Không cung cấp kỹ thuật mitigation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