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FLIP: Fine-grained Alignment between ID-based Models and Pretrained Language Models for CTR Prediction</w:t>
      </w:r>
    </w:p>
    <w:p>
      <w:r>
        <w:rPr>
          <w:b/>
        </w:rPr>
        <w:t xml:space="preserve">ArXiv ID: </w:t>
      </w:r>
      <w:r>
        <w:t>2310.19453 (https://arxiv.org/abs/2310.19453)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Kết nối hai paradigm: ID-based models và pretrained language models:</w:t>
      </w:r>
    </w:p>
    <w:p>
      <w:pPr>
        <w:pStyle w:val="ListBullet"/>
      </w:pPr>
      <w:r>
        <w:t>ID-based: collaborative signals từ tabular features</w:t>
      </w:r>
    </w:p>
    <w:p>
      <w:pPr>
        <w:pStyle w:val="ListBullet"/>
      </w:pPr>
      <w:r>
        <w:t>PLMs: semantic knowledge từ text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Jointly masked tabular/language modeling task</w:t>
      </w:r>
    </w:p>
    <w:p>
      <w:pPr>
        <w:pStyle w:val="ListBullet"/>
      </w:pPr>
      <w:r>
        <w:t>Masked data từ một modality được khôi phục bằng modality khác</w:t>
      </w:r>
    </w:p>
    <w:p>
      <w:pPr>
        <w:pStyle w:val="ListBullet"/>
      </w:pPr>
      <w:r>
        <w:t>Adaptive combination outputs từ ID-based models &amp; PLMs</w:t>
      </w:r>
    </w:p>
    <w:p>
      <w:pPr>
        <w:pStyle w:val="ListBullet"/>
      </w:pPr>
      <w:r>
        <w:t>Chấp nhận RecSys 2024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trội baselines trên 3 real-world datasets</w:t>
      </w:r>
    </w:p>
    <w:p>
      <w:pPr>
        <w:pStyle w:val="ListBullet"/>
      </w:pPr>
      <w:r>
        <w:t>Tương thích với các ID-based models &amp; PLM architectures khác nhau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Phức tạp implementation (dual-modality training + adaptive fusion)</w:t>
      </w:r>
    </w:p>
    <w:p>
      <w:pPr>
        <w:pStyle w:val="ListBullet"/>
      </w:pPr>
      <w:r>
        <w:t>Scalability không rõ ràng</w:t>
      </w:r>
    </w:p>
    <w:p>
      <w:pPr>
        <w:pStyle w:val="ListBullet"/>
      </w:pPr>
      <w:r>
        <w:t>Yêu cầu tài nguyên tính toán lớn hơn mô hình đơn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