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MLoRA: Multi-Domain Low-Rank Adaptive Network for CTR Prediction</w:t>
      </w:r>
    </w:p>
    <w:p>
      <w:r>
        <w:rPr>
          <w:b/>
        </w:rPr>
        <w:t xml:space="preserve">ArXiv ID: </w:t>
      </w:r>
      <w:r>
        <w:t>2408.08913 (https://arxiv.org/abs/2408.08913)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CTR prediction trong multi-domain scenarios:</w:t>
      </w:r>
    </w:p>
    <w:p>
      <w:pPr>
        <w:pStyle w:val="ListBullet"/>
      </w:pPr>
      <w:r>
        <w:t>Data sparsity &amp; differing data distributions giữa các domain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Specialized LoRA module cho mỗi domain → domain-specific adaptation</w:t>
      </w:r>
    </w:p>
    <w:p>
      <w:pPr>
        <w:pStyle w:val="ListBullet"/>
      </w:pPr>
      <w:r>
        <w:t>Parameter efficiency</w:t>
      </w:r>
    </w:p>
    <w:p>
      <w:pPr>
        <w:pStyle w:val="ListBullet"/>
      </w:pPr>
      <w:r>
        <w:t>Áp dụng cho various deep-learning models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suất cải thiện đáng kể so với SOTA baselines</w:t>
      </w:r>
    </w:p>
    <w:p>
      <w:pPr>
        <w:pStyle w:val="ListBullet"/>
      </w:pPr>
      <w:r>
        <w:t>Deployed thành công tại Alibaba với positive A/B testing</w:t>
      </w:r>
    </w:p>
    <w:p>
      <w:pPr>
        <w:pStyle w:val="ListBullet"/>
      </w:pPr>
      <w:r>
        <w:t>Code công khai cho reproducibility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Overhead storage cho mỗi LoRA module</w:t>
      </w:r>
    </w:p>
    <w:p>
      <w:pPr>
        <w:pStyle w:val="ListBullet"/>
      </w:pPr>
      <w:r>
        <w:t>Không thảo luận cold-start problem cho domains mới</w:t>
      </w:r>
    </w:p>
    <w:p>
      <w:pPr>
        <w:pStyle w:val="ListBullet"/>
      </w:pPr>
      <w:r>
        <w:t>LoRA technique có thể không optimal cho tất cả domains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