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DGIN: Deep Group Interest Modeling of Full Lifelong User Behaviors for CTR Prediction</w:t>
      </w:r>
    </w:p>
    <w:p>
      <w:r>
        <w:rPr>
          <w:b/>
        </w:rPr>
        <w:t xml:space="preserve">ArXiv ID: </w:t>
      </w:r>
      <w:r>
        <w:t>2311.10764 (https://arxiv.org/abs/2311.10764)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Mô hình hóa toàn bộ lịch sử hành vi user (clicks, cart additions, purchases) cho CTR prediction:</w:t>
      </w:r>
    </w:p>
    <w:p>
      <w:pPr>
        <w:pStyle w:val="ListBullet"/>
      </w:pPr>
      <w:r>
        <w:t>Không chỉ clicks mà tất cả behavior types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Group behavior sequences theo relevant keys: giảm O(10^4) → O(10^2)</w:t>
      </w:r>
    </w:p>
    <w:p>
      <w:pPr>
        <w:pStyle w:val="ListBullet"/>
      </w:pPr>
      <w:r>
        <w:t>Capture group attributes qua statistical measures + self-attention</w:t>
      </w:r>
    </w:p>
    <w:p>
      <w:pPr>
        <w:pStyle w:val="ListBullet"/>
      </w:pPr>
      <w:r>
        <w:t>Transformer để derive user interests từ reorganized behavior data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End-to-end approach giải quyết information loss trong two-stage methods</w:t>
      </w:r>
    </w:p>
    <w:p>
      <w:pPr>
        <w:pStyle w:val="ListBullet"/>
      </w:pPr>
      <w:r>
        <w:t>Hiệu suất &amp; efficiency tối ưu trên industrial &amp; public datasets</w:t>
      </w:r>
    </w:p>
    <w:p>
      <w:pPr>
        <w:pStyle w:val="ListBullet"/>
      </w:pPr>
      <w:r>
        <w:t>Xử lý long behavior sequences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Trade-off giữa efficiency gains từ grouping và information loss</w:t>
      </w:r>
    </w:p>
    <w:p>
      <w:pPr>
        <w:pStyle w:val="ListBullet"/>
      </w:pPr>
      <w:r>
        <w:t>Không rõ performance trên sequences rất dài (O(10^5)+)</w:t>
      </w:r>
    </w:p>
    <w:p>
      <w:pPr>
        <w:pStyle w:val="ListBullet"/>
      </w:pPr>
      <w:r>
        <w:t>Complexity trong implementation &amp; tuning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