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EGIN: Light-weight End-to-End Graph Interest Network for CTR Prediction in E-commerce Search</w:t>
      </w:r>
    </w:p>
    <w:p>
      <w:r>
        <w:rPr>
          <w:b/>
        </w:rPr>
        <w:t xml:space="preserve">ArXiv ID: </w:t>
      </w:r>
      <w:r>
        <w:t>2406.17745 (https://arxiv.org/abs/2406.17745)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CTR trong e-commerce search khác recommendation:</w:t>
      </w:r>
    </w:p>
    <w:p>
      <w:pPr>
        <w:pStyle w:val="ListBullet"/>
      </w:pPr>
      <w:r>
        <w:t>Phương pháp hiện tại bỏ qua query &amp; query-item relationships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Query-item heterogeneous graph capture tương quan &amp; thông tin tuần tự</w:t>
      </w:r>
    </w:p>
    <w:p>
      <w:pPr>
        <w:pStyle w:val="ListBullet"/>
      </w:pPr>
      <w:r>
        <w:t>Light-weight graph sampling xử lý hiệu quả</w:t>
      </w:r>
    </w:p>
    <w:p>
      <w:pPr>
        <w:pStyle w:val="ListBullet"/>
      </w:pPr>
      <w:r>
        <w:t>Multi-interest network dùng graph embeddings</w:t>
      </w:r>
    </w:p>
    <w:p>
      <w:pPr>
        <w:pStyle w:val="ListBullet"/>
      </w:pPr>
      <w:r>
        <w:t>End-to-end training kết hợp graph embedding + CTR prediction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Lấp đầy khoảng cách recommendation vs search-specific CTR</w:t>
      </w:r>
    </w:p>
    <w:p>
      <w:pPr>
        <w:pStyle w:val="ListBullet"/>
      </w:pPr>
      <w:r>
        <w:t>Chi phí training thấp</w:t>
      </w:r>
    </w:p>
    <w:p>
      <w:pPr>
        <w:pStyle w:val="ListBullet"/>
      </w:pPr>
      <w:r>
        <w:t>Deployment thực tế hệ thống search lớn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Chỉ test trên dataset cụ thể</w:t>
      </w:r>
    </w:p>
    <w:p>
      <w:pPr>
        <w:pStyle w:val="ListBullet"/>
      </w:pPr>
      <w:r>
        <w:t>Không thảo luận thách thức graph ở extreme scale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