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Enhancing CTR Prediction with De-correlated Expert Networks</w:t>
      </w:r>
    </w:p>
    <w:p>
      <w:r>
        <w:rPr>
          <w:b/>
        </w:rPr>
        <w:t xml:space="preserve">ArXiv ID: </w:t>
      </w:r>
      <w:r>
        <w:t>2505.17925 (https://arxiv.org/abs/2505.17925)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Xem xét cơ chế Mixture-of-Experts (MoE) trong CTR prediction, khám phá liệu các chiến lược MoE hiện tại có tạo ra các expert đủ khác biệt, không tương quan.</w:t>
      </w:r>
    </w:p>
    <w:p>
      <w:pPr>
        <w:pStyle w:val="ListBullet"/>
      </w:pPr>
      <w:r>
        <w:t>Tập trung vào mô hình hóa tương tác đặc trưng cho dự đoán click-through rate trong quảng cáo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Framework De-Correlated MoE (D-MoE) với Cross-Expert De-Correlation loss</w:t>
      </w:r>
    </w:p>
    <w:p>
      <w:pPr>
        <w:pStyle w:val="ListBullet"/>
      </w:pPr>
      <w:r>
        <w:t>Metric "Cross-Expert Correlation" để đo lường sự khác biệt giữa các expert</w:t>
      </w:r>
    </w:p>
    <w:p>
      <w:pPr>
        <w:pStyle w:val="ListBullet"/>
      </w:pPr>
      <w:r>
        <w:t>Áp dụng liên tiếp nhiều chiến lược de-correlation</w:t>
      </w:r>
    </w:p>
    <w:p>
      <w:pPr>
        <w:pStyle w:val="ListBullet"/>
      </w:pPr>
      <w:r>
        <w:t>A/B testing trực tuyến trên nền tảng quảng cáo của Tencent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Chứng minh các chiến lược de-correlation tương thích lẫn nhau, áp dụng liên tiếp dẫn đến giảm tương quan và tăng hiệu suất</w:t>
      </w:r>
    </w:p>
    <w:p>
      <w:pPr>
        <w:pStyle w:val="ListBullet"/>
      </w:pPr>
      <w:r>
        <w:t>Đạt lift +1.19% GMV so với Multi-Embedding MoE baseline trong kiểm thử sản xuất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Chỉ xác thực trên nền tảng Tencent, khả năng tổng quát hóa chưa rõ</w:t>
      </w:r>
    </w:p>
    <w:p>
      <w:pPr>
        <w:pStyle w:val="ListBullet"/>
      </w:pPr>
      <w:r>
        <w:t>Không chi tiết về độ phức tạp tính toán hoặc chi phí triển khai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