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LREA: Low-Rank Efficient Attention on Modeling Long-Term User Behaviors for CTR Prediction</w:t>
      </w:r>
    </w:p>
    <w:p>
      <w:r>
        <w:rPr>
          <w:b/>
        </w:rPr>
        <w:t xml:space="preserve">ArXiv ID: </w:t>
      </w:r>
      <w:r>
        <w:t>2503.02542 (https://arxiv.org/abs/2503.02542)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challenge hiệu suất tính toán khi mô hình hóa user interest từ lịch sử hành vi dài:</w:t>
      </w:r>
    </w:p>
    <w:p>
      <w:pPr>
        <w:pStyle w:val="ListBullet"/>
      </w:pPr>
      <w:r>
        <w:t>Cân bằng performance với response time requirements của production systems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Low-rank matrix decomposition để tăng runtime performance</w:t>
      </w:r>
    </w:p>
    <w:p>
      <w:pPr>
        <w:pStyle w:val="ListBullet"/>
      </w:pPr>
      <w:r>
        <w:t>Specialized loss function duy trì attention quality</w:t>
      </w:r>
    </w:p>
    <w:p>
      <w:pPr>
        <w:pStyle w:val="ListBullet"/>
      </w:pPr>
      <w:r>
        <w:t>Matrix absorption và pre-storage techniques cho inference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Offline và online experiments: outperform state-of-the-art</w:t>
      </w:r>
    </w:p>
    <w:p>
      <w:pPr>
        <w:pStyle w:val="ListBullet"/>
      </w:pPr>
      <w:r>
        <w:t>Cân bằng tốt giữa model performance và acceptable response times</w:t>
      </w:r>
    </w:p>
    <w:p>
      <w:pPr>
        <w:pStyle w:val="ListBullet"/>
      </w:pPr>
      <w:r>
        <w:t>SIGIR 2025 Short Paper Track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Paper ngắn (5 trang)</w:t>
      </w:r>
    </w:p>
    <w:p>
      <w:pPr>
        <w:pStyle w:val="ListBullet"/>
      </w:pPr>
      <w:r>
        <w:t>Traditional filtering methods bị mất mát thông tin đáng kể</w:t>
      </w:r>
    </w:p>
    <w:p>
      <w:pPr>
        <w:pStyle w:val="ListBullet"/>
      </w:pPr>
      <w:r>
        <w:t>Hạn chế cụ thể của LREA không được chi tiết rõ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