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HeMix: Query-Mixed Interest Extraction and Heterogeneous Interaction: A Scalable CTR Model for Industrial Recommender Systems</w:t>
      </w:r>
    </w:p>
    <w:p>
      <w:r>
        <w:rPr>
          <w:b/>
        </w:rPr>
        <w:t xml:space="preserve">ArXiv ID: </w:t>
      </w:r>
      <w:r>
        <w:t>2602.09387 (https://arxiv.org/abs/2602.09387)</w:t>
      </w:r>
      <w:r>
        <w:br/>
      </w:r>
      <w:r>
        <w:rPr>
          <w:b/>
        </w:rPr>
        <w:t xml:space="preserve">Năm: </w:t>
      </w:r>
      <w:r>
        <w:t>2026</w:t>
      </w:r>
      <w:r>
        <w:br/>
      </w:r>
      <w:r>
        <w:rPr>
          <w:b/>
        </w:rPr>
        <w:t xml:space="preserve">Nhóm: </w:t>
      </w:r>
      <w:r>
        <w:t>1 - Dự đoán tỷ lệ nhấp chuột (CTR) — Kiến trúc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Giải quyết thách thức learning effective feature interactions trong industrial recommendation systems:</w:t>
      </w:r>
    </w:p>
    <w:p>
      <w:pPr>
        <w:pStyle w:val="ListBullet"/>
      </w:pPr>
      <w:r>
        <w:t>Xử lý sparse multi-field data và exceptionally long user behavior sequences</w:t>
      </w:r>
    </w:p>
    <w:p>
      <w:pPr>
        <w:pStyle w:val="ListBullet"/>
      </w:pPr>
      <w:r>
        <w:t>Tối ưu scaling efficiency cho production systems</w:t>
      </w:r>
    </w:p>
    <w:p>
      <w:pPr>
        <w:pStyle w:val="Heading1"/>
      </w:pPr>
      <w:r>
        <w:t>2. Phương pháp sử dụng</w:t>
      </w:r>
    </w:p>
    <w:p>
      <w:r>
        <w:t>HeMix Model với hai thành phần chính:</w:t>
      </w:r>
    </w:p>
    <w:p>
      <w:pPr>
        <w:pStyle w:val="ListBullet"/>
      </w:pPr>
      <w:r>
        <w:t>Query-Mixed Interest Extraction Module: Capture user preferences đồng thời qua dynamic &amp; fixed query mechanisms, xử lý historical + immediate behavioral data</w:t>
      </w:r>
    </w:p>
    <w:p>
      <w:pPr>
        <w:pStyle w:val="ListBullet"/>
      </w:pPr>
      <w:r>
        <w:t>HeteroMixer Block: Thay thế traditional self-attention bằng structure có multi-head token fusion, heterogeneous interaction &amp; group-aligned reconstruction pipelines</w:t>
      </w:r>
    </w:p>
    <w:p>
      <w:pPr>
        <w:pStyle w:val="ListBullet"/>
      </w:pPr>
      <w:r>
        <w:t>Thiết kế efficient cross-feature analysis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Scaling efficiency: tăng parameters → consistent accuracy improvements</w:t>
      </w:r>
    </w:p>
    <w:p>
      <w:pPr>
        <w:pStyle w:val="ListBullet"/>
      </w:pPr>
      <w:r>
        <w:t>Triển khai production thực tế trên AMAP platform:</w:t>
      </w:r>
    </w:p>
    <w:p>
      <w:pPr>
        <w:pStyle w:val="ListBullet"/>
      </w:pPr>
      <w:r>
        <w:t>+3.61% GMV improvement</w:t>
      </w:r>
    </w:p>
    <w:p>
      <w:pPr>
        <w:pStyle w:val="ListBullet"/>
      </w:pPr>
      <w:r>
        <w:t>+2.78% PV_CTR gain</w:t>
      </w:r>
    </w:p>
    <w:p>
      <w:pPr>
        <w:pStyle w:val="ListBullet"/>
      </w:pPr>
      <w:r>
        <w:t>+2.12% UV_CVR increase</w:t>
      </w:r>
    </w:p>
    <w:p>
      <w:pPr>
        <w:pStyle w:val="ListBullet"/>
      </w:pPr>
      <w:r>
        <w:t>Outperform DLRM baseline trên multiple metrics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Complexity cao của HeteroMixer block - khó maintain &amp; debug</w:t>
      </w:r>
    </w:p>
    <w:p>
      <w:pPr>
        <w:pStyle w:val="ListBullet"/>
      </w:pPr>
      <w:r>
        <w:t>Trade-off giữa model capacity &amp; inference latency chưa rõ ràng</w:t>
      </w:r>
    </w:p>
    <w:p>
      <w:pPr>
        <w:pStyle w:val="ListBullet"/>
      </w:pPr>
      <w:r>
        <w:t>Evaluation chủ yếu trên AMAP - generalization cần xác minh</w:t>
      </w:r>
    </w:p>
    <w:p>
      <w:pPr>
        <w:pStyle w:val="ListBullet"/>
      </w:pPr>
      <w:r>
        <w:t>Long sequence processing vẫn có memory constraints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