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SparseCTR: Unleashing the Potential of Sparse Attention on Long-term Behaviors for CTR Prediction</w:t>
      </w:r>
    </w:p>
    <w:p>
      <w:r>
        <w:rPr>
          <w:b/>
        </w:rPr>
        <w:t xml:space="preserve">ArXiv ID: </w:t>
      </w:r>
      <w:r>
        <w:t>2601.17836 (https://arxiv.org/abs/2601.17836)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Phát triển cơ chế attention hiệu quả để giải quyết thách thức triển khai trong hệ thống recommendation:</w:t>
      </w:r>
    </w:p>
    <w:p>
      <w:pPr>
        <w:pStyle w:val="ListBullet"/>
      </w:pPr>
      <w:r>
        <w:t>Tập trung xử lý long-term user behaviors với sparse attention</w:t>
      </w:r>
    </w:p>
    <w:p>
      <w:pPr>
        <w:pStyle w:val="ListBullet"/>
      </w:pPr>
      <w:r>
        <w:t>Mục tiêu: giảm computational cost mà vẫn duy trì/cải thiện hiệu suất</w:t>
      </w:r>
    </w:p>
    <w:p>
      <w:pPr>
        <w:pStyle w:val="Heading1"/>
      </w:pPr>
      <w:r>
        <w:t>2. Phương pháp sử dụng</w:t>
      </w:r>
    </w:p>
    <w:p>
      <w:r>
        <w:t>Sparse Attention Mechanism với 3 thành phần chính:</w:t>
      </w:r>
    </w:p>
    <w:p>
      <w:pPr>
        <w:pStyle w:val="ListBullet"/>
      </w:pPr>
      <w:r>
        <w:t>Personalized Chunking: Phân chia behavior sequences theo cách riêng từng user để bảo tồn continuous patterns và cho phép parallel processing</w:t>
      </w:r>
    </w:p>
    <w:p>
      <w:pPr>
        <w:pStyle w:val="ListBullet"/>
      </w:pPr>
      <w:r>
        <w:t>Three-Branch Sparse Attention: Bắt giữ 3 khía cạnh: global user interests, interest transitions, short-term interests</w:t>
      </w:r>
    </w:p>
    <w:p>
      <w:pPr>
        <w:pStyle w:val="ListBullet"/>
      </w:pPr>
      <w:r>
        <w:t>Composite Relative Temporal Encoding: Sử dụng learnable head-specific bias coefficients để biểu diễn sequential và periodic relationships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Cải thiện computational efficiency với kết quả superior vs methods hiện tại</w:t>
      </w:r>
    </w:p>
    <w:p>
      <w:pPr>
        <w:pStyle w:val="ListBullet"/>
      </w:pPr>
      <w:r>
        <w:t>Scaling law consistency: Lợi ích scaling đều đặn qua 3 orders of magnitude trong FLOPs</w:t>
      </w:r>
    </w:p>
    <w:p>
      <w:pPr>
        <w:pStyle w:val="ListBullet"/>
      </w:pPr>
      <w:r>
        <w:t>Online A/B testing results:</w:t>
      </w:r>
    </w:p>
    <w:p>
      <w:pPr>
        <w:pStyle w:val="ListBullet"/>
      </w:pPr>
      <w:r>
        <w:t>CTR improvement: +1.72%</w:t>
      </w:r>
    </w:p>
    <w:p>
      <w:pPr>
        <w:pStyle w:val="ListBullet"/>
      </w:pPr>
      <w:r>
        <w:t>CPM improvement: +1.41%</w:t>
      </w:r>
    </w:p>
    <w:p>
      <w:pPr>
        <w:pStyle w:val="ListBullet"/>
      </w:pPr>
      <w:r>
        <w:t>Accepted to WWW 2026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Personalized chunking có thể gặp khó khăn với user behavior patterns không rõ ràng</w:t>
      </w:r>
    </w:p>
    <w:p>
      <w:pPr>
        <w:pStyle w:val="ListBullet"/>
      </w:pPr>
      <w:r>
        <w:t>Phức tạp triển khai hệ thống chunking per-user trong production</w:t>
      </w:r>
    </w:p>
    <w:p>
      <w:pPr>
        <w:pStyle w:val="ListBullet"/>
      </w:pPr>
      <w:r>
        <w:t>Khả năng generalization trên các domain khác chưa được kiểm chứng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