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OptEmbed: Learning Optimal Embedding Table for Click-Through Rate Prediction</w:t>
      </w:r>
    </w:p>
    <w:p>
      <w:r>
        <w:rPr>
          <w:b/>
        </w:rPr>
        <w:t xml:space="preserve">ArXiv ID: </w:t>
      </w:r>
      <w:r>
        <w:t>2208.04482 (https://arxiv.org/abs/2208.04482)</w:t>
      </w:r>
      <w:r>
        <w:br/>
      </w:r>
      <w:r>
        <w:rPr>
          <w:b/>
        </w:rPr>
        <w:t xml:space="preserve">Năm: </w:t>
      </w:r>
      <w:r>
        <w:t>2022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Tối ưu hóa bảng embedding cho CTR prediction, bảng embedding chiếm quá nhiều bộ nhớ</w:t>
      </w:r>
    </w:p>
    <w:p>
      <w:pPr>
        <w:pStyle w:val="Heading1"/>
      </w:pPr>
      <w:r>
        <w:t>2. Phương pháp sử dụng</w:t>
      </w:r>
    </w:p>
    <w:p>
      <w:r>
        <w:t>Pruning strategy với learnable thresholds + uniform sampling scheme + evolution-based search. CIKM 2022</w:t>
      </w:r>
    </w:p>
    <w:p>
      <w:pPr>
        <w:pStyle w:val="Heading1"/>
      </w:pPr>
      <w:r>
        <w:t>3. Thành tựu đạt được</w:t>
      </w:r>
    </w:p>
    <w:p>
      <w:r>
        <w:t>Compact embedding table cải thiện hiệu năng, cân bằng bộ nhớ-accuracy</w:t>
      </w:r>
    </w:p>
    <w:p>
      <w:pPr>
        <w:pStyle w:val="Heading1"/>
      </w:pPr>
      <w:r>
        <w:t>4. Hạn chế</w:t>
      </w:r>
    </w:p>
    <w:p>
      <w:r>
        <w:t>Chi phí tìm kiếm không thảo luận chi tiết, khả năng tổng quát hóa chưa rõ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