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KD-DAGFM: Directed Acyclic Graph FM for CTR via Knowledge Distillation</w:t>
      </w:r>
    </w:p>
    <w:p>
      <w:r>
        <w:rPr>
          <w:b/>
        </w:rPr>
        <w:t xml:space="preserve">ArXiv ID: </w:t>
      </w:r>
      <w:r>
        <w:t>2211.11159 (https://arxiv.org/abs/2211.11159)</w:t>
      </w:r>
      <w:r>
        <w:br/>
      </w:r>
      <w:r>
        <w:rPr>
          <w:b/>
        </w:rPr>
        <w:t xml:space="preserve">Năm: </w:t>
      </w:r>
      <w:r>
        <w:t>2022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Học tương tác feature bậc cao hiệu quả cho hệ thống web-scale</w:t>
      </w:r>
    </w:p>
    <w:p>
      <w:pPr>
        <w:pStyle w:val="Heading1"/>
      </w:pPr>
      <w:r>
        <w:t>2. Phương pháp sử dụng</w:t>
      </w:r>
    </w:p>
    <w:p>
      <w:r>
        <w:t>KD-DAGFM: knowledge distillation + DAGFM student nhẹ + dynamic programming + KD-DAGFM+ biến thể</w:t>
      </w:r>
    </w:p>
    <w:p>
      <w:pPr>
        <w:pStyle w:val="Heading1"/>
      </w:pPr>
      <w:r>
        <w:t>3. Thành tựu đạt được</w:t>
      </w:r>
    </w:p>
    <w:p>
      <w:r>
        <w:t>Hiệu suất gần không mất mát, &lt;21.5% FLOPs, 4 datasets thực tế (WeChat), code công khai</w:t>
      </w:r>
    </w:p>
    <w:p>
      <w:pPr>
        <w:pStyle w:val="Heading1"/>
      </w:pPr>
      <w:r>
        <w:t>4. Hạn chế</w:t>
      </w:r>
    </w:p>
    <w:p>
      <w:r>
        <w:t>Phụ thuộc chất lượng teacher, chi phí distillation chưa phân tích chi tiết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