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Sparsity-Preserving Differentially Private Training of Large Embedding Models</w:t>
      </w:r>
    </w:p>
    <w:p>
      <w:r>
        <w:rPr>
          <w:b/>
        </w:rPr>
        <w:t xml:space="preserve">ArXiv ID: </w:t>
      </w:r>
      <w:r>
        <w:t>2311.08357 (https://arxiv.org/abs/2311.08357)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Privacy trong embedding models lớn, DP phá hủy sparsity tự nhiên trong gradients</w:t>
      </w:r>
    </w:p>
    <w:p>
      <w:pPr>
        <w:pStyle w:val="Heading1"/>
      </w:pPr>
      <w:r>
        <w:t>2. Phương pháp sử dụng</w:t>
      </w:r>
    </w:p>
    <w:p>
      <w:r>
        <w:t>DP-FEST và DP-AdaFEST: DP + SGD duy trì gradient sparsity. NeurIPS 2023</w:t>
      </w:r>
    </w:p>
    <w:p>
      <w:pPr>
        <w:pStyle w:val="Heading1"/>
      </w:pPr>
      <w:r>
        <w:t>3. Thành tựu đạt được</w:t>
      </w:r>
    </w:p>
    <w:p>
      <w:r>
        <w:t>Giảm 10^6 lần kích thước gradient, duy trì accuracy tương đương</w:t>
      </w:r>
    </w:p>
    <w:p>
      <w:pPr>
        <w:pStyle w:val="Heading1"/>
      </w:pPr>
      <w:r>
        <w:t>4. Hạn chế</w:t>
      </w:r>
    </w:p>
    <w:p>
      <w:r>
        <w:t>Ứng dụng cụ thể cho embedding models, mở rộng sang deep learning khác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