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Experimental Analysis of Large-scale Learnable Vector Storage Compression (VLDB)</w:t>
      </w:r>
    </w:p>
    <w:p>
      <w:r>
        <w:rPr>
          <w:b/>
        </w:rPr>
        <w:t xml:space="preserve">ArXiv ID: </w:t>
      </w:r>
      <w:r>
        <w:t>2311.15578 (https://arxiv.org/abs/2311.15578)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Phân tích thực nghiệm toàn diện các phương pháp nén vector storage:</w:t>
      </w:r>
    </w:p>
    <w:p>
      <w:pPr>
        <w:pStyle w:val="ListBullet"/>
      </w:pPr>
      <w:r>
        <w:t>Embedding vectors tiêu tốn bộ nhớ khổng lồ</w:t>
      </w:r>
    </w:p>
    <w:p>
      <w:pPr>
        <w:pStyle w:val="ListBullet"/>
      </w:pPr>
      <w:r>
        <w:t>Đặc biệt với dữ liệu thưa chiều cao và corpus lớn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Modular benchmarking framework tích hợp 14 phương pháp nén</w:t>
      </w:r>
    </w:p>
    <w:p>
      <w:pPr>
        <w:pStyle w:val="ListBullet"/>
      </w:pPr>
      <w:r>
        <w:t>Phân loại taxonomy cho các kỹ thuật nén</w:t>
      </w:r>
    </w:p>
    <w:p>
      <w:pPr>
        <w:pStyle w:val="ListBullet"/>
      </w:pPr>
      <w:r>
        <w:t>So sánh công bằng trên các budget bộ nhớ khác nhau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So sánh hiệu suất công bằng giữa 14 phương pháp</w:t>
      </w:r>
    </w:p>
    <w:p>
      <w:pPr>
        <w:pStyle w:val="ListBullet"/>
      </w:pPr>
      <w:r>
        <w:t>Khuyến nghị dành riêng cho từng use case</w:t>
      </w:r>
    </w:p>
    <w:p>
      <w:pPr>
        <w:pStyle w:val="ListBullet"/>
      </w:pPr>
      <w:r>
        <w:t>Framework mô-đun có thể mở rộng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Paper thực nghiệm, không đề xuất phương pháp nén mới</w:t>
      </w:r>
    </w:p>
    <w:p>
      <w:pPr>
        <w:pStyle w:val="ListBullet"/>
      </w:pPr>
      <w:r>
        <w:t>Chưa rõ khả năng tổng quát hóa qua các loại dữ liệu khác nhau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