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MLCC: Multi-Level Compression Cross Networks for Click-Through Rate Prediction</w:t>
      </w:r>
    </w:p>
    <w:p>
      <w:r>
        <w:rPr>
          <w:b/>
        </w:rPr>
        <w:t xml:space="preserve">ArXiv ID: </w:t>
      </w:r>
      <w:r>
        <w:t>2602.12041 (https://arxiv.org/abs/2602.12041)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Tối ưu hóa mô hình tương tác feature bậc cao cho prediction CTR/conversion trong hệ thống recommendation quy mô lớn:</w:t>
      </w:r>
    </w:p>
    <w:p>
      <w:pPr>
        <w:pStyle w:val="ListBullet"/>
      </w:pPr>
      <w:r>
        <w:t>Làm sao tính toán các tương tác phức tạp giữa nhiều feature mà vẫn đạt hiệu suất cao</w:t>
      </w:r>
    </w:p>
    <w:p>
      <w:pPr>
        <w:pStyle w:val="ListBullet"/>
      </w:pPr>
      <w:r>
        <w:t>Trong môi trường production có ràng buộc latency và tài nguyên tính toán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Multi-Level Compression Cross Networks (MLCC): cấu trúc phân cấp để tổ chức feature crosses</w:t>
      </w:r>
    </w:p>
    <w:p>
      <w:pPr>
        <w:pStyle w:val="ListBullet"/>
      </w:pPr>
      <w:r>
        <w:t>Dynamic Composition: kết hợp các cross khác nhau một cách linh hoạt</w:t>
      </w:r>
    </w:p>
    <w:p>
      <w:pPr>
        <w:pStyle w:val="ListBullet"/>
      </w:pPr>
      <w:r>
        <w:t>Multi-Channel Extension (MC-MLCC): phân tách tương tác thành các subspace song song để scaling ngang</w:t>
      </w:r>
    </w:p>
    <w:p>
      <w:pPr>
        <w:pStyle w:val="ListBullet"/>
      </w:pPr>
      <w:r>
        <w:t>Channel-based scaling như thay thế cho embedding inflation truyền thống</w:t>
      </w:r>
    </w:p>
    <w:p>
      <w:pPr>
        <w:pStyle w:val="ListBullet"/>
      </w:pPr>
      <w:r>
        <w:t>A/B testing trên Bilibili advertising platform để xác thực thực tế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0.52 AUC improvement so với DLRM-style baselines</w:t>
      </w:r>
    </w:p>
    <w:p>
      <w:pPr>
        <w:pStyle w:val="ListBullet"/>
      </w:pPr>
      <w:r>
        <w:t>26× reduction trong số parameters và computational operations mà vẫn bảo toàn performance</w:t>
      </w:r>
    </w:p>
    <w:p>
      <w:pPr>
        <w:pStyle w:val="ListBullet"/>
      </w:pPr>
      <w:r>
        <w:t>Stable and predictable scaling behavior trên embedding dimension, head number, channel count</w:t>
      </w:r>
    </w:p>
    <w:p>
      <w:pPr>
        <w:pStyle w:val="ListBullet"/>
      </w:pPr>
      <w:r>
        <w:t>Validation trên 3 public benchmarks + 1 proprietary dataset</w:t>
      </w:r>
    </w:p>
    <w:p>
      <w:pPr>
        <w:pStyle w:val="ListBullet"/>
      </w:pPr>
      <w:r>
        <w:t>Triển khai thành công trong production environment (Bilibili)</w:t>
      </w:r>
    </w:p>
    <w:p>
      <w:pPr>
        <w:pStyle w:val="ListBullet"/>
      </w:pPr>
      <w:r>
        <w:t>Giảm latency và resource consumption đáng kể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Đánh giá chủ yếu trên 4 datasets (3 public + 1 proprietary) - tính tổng quát hóa có thể bị hạn chế</w:t>
      </w:r>
    </w:p>
    <w:p>
      <w:pPr>
        <w:pStyle w:val="ListBullet"/>
      </w:pPr>
      <w:r>
        <w:t>Thiết kế tối ưu cho môi trường production với ràng buộc strict - có thể không tổng quát cho các domain khác</w:t>
      </w:r>
    </w:p>
    <w:p>
      <w:pPr>
        <w:pStyle w:val="ListBullet"/>
      </w:pPr>
      <w:r>
        <w:t>Thiếu ablation studies chi tiết</w:t>
      </w:r>
    </w:p>
    <w:p>
      <w:pPr>
        <w:pStyle w:val="ListBullet"/>
      </w:pPr>
      <w:r>
        <w:t>Không so sánh chi tiết với các phương pháp compression embedding khác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