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36"/>
          <w:szCs w:val="36"/>
        </w:rPr>
        <w:t xml:space="preserve">TQ1-IR: A Compiler Dialect for Ternary Weight Neural Networks</w:t>
      </w:r>
    </w:p>
    <w:p>
      <w:pPr>
        <w:spacing w:after="480"/>
        <w:jc w:val="center"/>
      </w:pPr>
      <w:r>
        <w:rPr>
          <w:rFonts w:ascii="Times New Roman" w:cs="Times New Roman" w:eastAsia="Times New Roman" w:hAnsi="Times New Roman"/>
          <w:sz w:val="24"/>
          <w:szCs w:val="24"/>
        </w:rPr>
        <w:t xml:space="preserve">Nuno Miguel Pedrosa Pombo</w:t>
      </w:r>
    </w:p>
    <w:p>
      <w:pPr>
        <w:pStyle w:val="Heading1"/>
        <w:spacing w:after="120" w:before="360"/>
      </w:pPr>
      <w:r>
        <w:rPr>
          <w:rFonts w:ascii="Times New Roman" w:cs="Times New Roman" w:eastAsia="Times New Roman" w:hAnsi="Times New Roman"/>
          <w:b/>
          <w:bCs/>
          <w:sz w:val="28"/>
          <w:szCs w:val="28"/>
        </w:rPr>
        <w:t xml:space="preserve">Abstract</w:t>
      </w:r>
    </w:p>
    <w:p>
      <w:pPr>
        <w:spacing w:after="160"/>
        <w:jc w:val="both"/>
      </w:pPr>
      <w:r>
        <w:rPr>
          <w:rFonts w:ascii="Times New Roman" w:cs="Times New Roman" w:eastAsia="Times New Roman" w:hAnsi="Times New Roman"/>
          <w:sz w:val="22"/>
          <w:szCs w:val="22"/>
        </w:rPr>
        <w:t xml:space="preserve">Running large language models on consumer hardware is constrained by memory bandwidth, not compute. Ternary weight networks like BitNet b1.58 address this directly: weights in {-1, 0, +1} halve memory traffic compared to 8-bit quantization and open the door to multiplier-free systolic arrays. The tooling, however, has not kept up. There is no open-source compiler pipeline that takes a ternary model from its on-disk format through a typed intermediate representation to a hardware instruction set. This paper describes TQ1-IR, a Python-based IR dialect inspired by MLIR, with a GGUF frontend, three optimization passes, and a validation backend. Applied to BitNet b1.58 2B4T, the compiler processes 332 tensors into 30 layer functions, fuses 150 RMSNorm-Linear pairs eliminating 600 KB of intermediate buffers per layer, and produces an instruction trace where TGEMV operations account for 50% of all instructions. Weight decoding matches the reference engine exactly, with a maximum absolute difference of zero across all tested tensors.</w:t>
      </w:r>
    </w:p>
    <w:p>
      <w:pPr>
        <w:pStyle w:val="Heading1"/>
        <w:spacing w:after="120" w:before="360"/>
      </w:pPr>
      <w:r>
        <w:rPr>
          <w:rFonts w:ascii="Times New Roman" w:cs="Times New Roman" w:eastAsia="Times New Roman" w:hAnsi="Times New Roman"/>
          <w:b/>
          <w:bCs/>
          <w:sz w:val="28"/>
          <w:szCs w:val="28"/>
        </w:rPr>
        <w:t xml:space="preserve">1. Introduction</w:t>
      </w:r>
    </w:p>
    <w:p>
      <w:pPr>
        <w:spacing w:after="160"/>
        <w:jc w:val="both"/>
      </w:pPr>
      <w:r>
        <w:rPr>
          <w:rFonts w:ascii="Times New Roman" w:cs="Times New Roman" w:eastAsia="Times New Roman" w:hAnsi="Times New Roman"/>
          <w:sz w:val="22"/>
          <w:szCs w:val="22"/>
        </w:rPr>
        <w:t xml:space="preserve">The dominant cost of transformer inference is not arithmetic. It is moving weights from memory to the compute units. A 7-billion-parameter model at float16 occupies roughly 14 GB; reading those weights once per generated token at the memory bandwidth of a typical CPU takes several hundred milliseconds. This is the Memory Wall, and it has driven nearly all recent work on model compression.</w:t>
      </w:r>
    </w:p>
    <w:p>
      <w:pPr>
        <w:spacing w:after="160"/>
        <w:jc w:val="both"/>
      </w:pPr>
      <w:r>
        <w:rPr>
          <w:rFonts w:ascii="Times New Roman" w:cs="Times New Roman" w:eastAsia="Times New Roman" w:hAnsi="Times New Roman"/>
          <w:sz w:val="22"/>
          <w:szCs w:val="22"/>
        </w:rPr>
        <w:t xml:space="preserve">Ternary weight quantization is one of the more aggressive responses. BitNet b1.58 [MA24] trains models from scratch with weights constrained to {-1, 0, +1}. The per-weight storage cost drops to roughly 1.58 bits, a factor of ten compared to float16. More importantly, the arithmetic changes character: a matrix-vector product with ternary weights requires only additions and subtractions, no multiplications. This makes the operation well-suited to bit-serial systolic arrays, a class of hardware accelerator that has been studied for decades but rarely had a production workload to justify the silicon.</w:t>
      </w:r>
    </w:p>
    <w:p>
      <w:pPr>
        <w:spacing w:after="160"/>
        <w:jc w:val="both"/>
      </w:pPr>
      <w:r>
        <w:rPr>
          <w:rFonts w:ascii="Times New Roman" w:cs="Times New Roman" w:eastAsia="Times New Roman" w:hAnsi="Times New Roman"/>
          <w:sz w:val="22"/>
          <w:szCs w:val="22"/>
        </w:rPr>
        <w:t xml:space="preserve">The model side of this story is largely solved. BitNet b1.58 2B4T runs correctly on commodity CPUs, and the bitnet.cpp project provides a working inference engine. The compiler side is not solved. There is no open compiler pipeline that:</w:t>
      </w:r>
    </w:p>
    <w:p>
      <w:pPr>
        <w:pStyle w:val="ListParagraph"/>
        <w:numPr>
          <w:ilvl w:val="0"/>
          <w:numId w:val="2"/>
        </w:numPr>
        <w:spacing w:after="80"/>
      </w:pPr>
      <w:r>
        <w:rPr>
          <w:rFonts w:ascii="Times New Roman" w:cs="Times New Roman" w:eastAsia="Times New Roman" w:hAnsi="Times New Roman"/>
          <w:sz w:val="22"/>
          <w:szCs w:val="22"/>
        </w:rPr>
        <w:t xml:space="preserve">accepts a ternary model in GGUF format as input,</w:t>
      </w:r>
    </w:p>
    <w:p>
      <w:pPr>
        <w:pStyle w:val="ListParagraph"/>
        <w:numPr>
          <w:ilvl w:val="0"/>
          <w:numId w:val="2"/>
        </w:numPr>
        <w:spacing w:after="80"/>
      </w:pPr>
      <w:r>
        <w:rPr>
          <w:rFonts w:ascii="Times New Roman" w:cs="Times New Roman" w:eastAsia="Times New Roman" w:hAnsi="Times New Roman"/>
          <w:sz w:val="22"/>
          <w:szCs w:val="22"/>
        </w:rPr>
        <w:t xml:space="preserve">represents its computation in a typed intermediate representation,</w:t>
      </w:r>
    </w:p>
    <w:p>
      <w:pPr>
        <w:pStyle w:val="ListParagraph"/>
        <w:numPr>
          <w:ilvl w:val="0"/>
          <w:numId w:val="2"/>
        </w:numPr>
        <w:spacing w:after="80"/>
      </w:pPr>
      <w:r>
        <w:rPr>
          <w:rFonts w:ascii="Times New Roman" w:cs="Times New Roman" w:eastAsia="Times New Roman" w:hAnsi="Times New Roman"/>
          <w:sz w:val="22"/>
          <w:szCs w:val="22"/>
        </w:rPr>
        <w:t xml:space="preserve">applies optimization passes that are aware of the ternary structure, and</w:t>
      </w:r>
    </w:p>
    <w:p>
      <w:pPr>
        <w:pStyle w:val="ListParagraph"/>
        <w:numPr>
          <w:ilvl w:val="0"/>
          <w:numId w:val="2"/>
        </w:numPr>
        <w:spacing w:after="160"/>
      </w:pPr>
      <w:r>
        <w:rPr>
          <w:rFonts w:ascii="Times New Roman" w:cs="Times New Roman" w:eastAsia="Times New Roman" w:hAnsi="Times New Roman"/>
          <w:sz w:val="22"/>
          <w:szCs w:val="22"/>
        </w:rPr>
        <w:t xml:space="preserve">emits instructions for a target accelerator ISA.</w:t>
      </w:r>
    </w:p>
    <w:p>
      <w:pPr>
        <w:spacing w:after="160"/>
        <w:jc w:val="both"/>
      </w:pPr>
      <w:r>
        <w:rPr>
          <w:rFonts w:ascii="Times New Roman" w:cs="Times New Roman" w:eastAsia="Times New Roman" w:hAnsi="Times New Roman"/>
          <w:sz w:val="22"/>
          <w:szCs w:val="22"/>
        </w:rPr>
        <w:t xml:space="preserve">This paper describes TQ1-IR, which fills that gap. The implementation is in Python and deliberately does not depend on the MLIR C++ infrastructure, making it runnable on a consumer laptop with no GPU. We validate the compiler by comparing its weight decoding against the reference engine on the actual BitNet b1.58 2B4T model weights.</w:t>
      </w:r>
    </w:p>
    <w:p>
      <w:pPr>
        <w:spacing w:after="160"/>
        <w:jc w:val="both"/>
      </w:pPr>
      <w:r>
        <w:rPr>
          <w:rFonts w:ascii="Times New Roman" w:cs="Times New Roman" w:eastAsia="Times New Roman" w:hAnsi="Times New Roman"/>
          <w:sz w:val="22"/>
          <w:szCs w:val="22"/>
        </w:rPr>
        <w:t xml:space="preserve">The contributions are:</w:t>
      </w:r>
    </w:p>
    <w:p>
      <w:pPr>
        <w:pStyle w:val="ListParagraph"/>
        <w:numPr>
          <w:ilvl w:val="0"/>
          <w:numId w:val="3"/>
        </w:numPr>
        <w:spacing w:after="80"/>
      </w:pPr>
      <w:r>
        <w:rPr>
          <w:rFonts w:ascii="Times New Roman" w:cs="Times New Roman" w:eastAsia="Times New Roman" w:hAnsi="Times New Roman"/>
          <w:sz w:val="22"/>
          <w:szCs w:val="22"/>
        </w:rPr>
        <w:t xml:space="preserve">A typed SSA intermediate representation for ternary transformer inference, with GGUF frontend and symbolic ISA backend.</w:t>
      </w:r>
    </w:p>
    <w:p>
      <w:pPr>
        <w:pStyle w:val="ListParagraph"/>
        <w:numPr>
          <w:ilvl w:val="0"/>
          <w:numId w:val="3"/>
        </w:numPr>
        <w:spacing w:after="80"/>
      </w:pPr>
      <w:r>
        <w:rPr>
          <w:rFonts w:ascii="Times New Roman" w:cs="Times New Roman" w:eastAsia="Times New Roman" w:hAnsi="Times New Roman"/>
          <w:sz w:val="22"/>
          <w:szCs w:val="22"/>
        </w:rPr>
        <w:t xml:space="preserve">Three compiler passes: type verification, norm-linear fusion, and activation quantization lowering.</w:t>
      </w:r>
    </w:p>
    <w:p>
      <w:pPr>
        <w:pStyle w:val="ListParagraph"/>
        <w:numPr>
          <w:ilvl w:val="0"/>
          <w:numId w:val="3"/>
        </w:numPr>
        <w:spacing w:after="160"/>
      </w:pPr>
      <w:r>
        <w:rPr>
          <w:rFonts w:ascii="Times New Roman" w:cs="Times New Roman" w:eastAsia="Times New Roman" w:hAnsi="Times New Roman"/>
          <w:sz w:val="22"/>
          <w:szCs w:val="22"/>
        </w:rPr>
        <w:t xml:space="preserve">A documented correction to the T36 weight format, which is misdescribed in at least one reference implementation.</w:t>
      </w:r>
    </w:p>
    <w:p>
      <w:pPr>
        <w:pStyle w:val="Heading1"/>
        <w:spacing w:after="120" w:before="360"/>
      </w:pPr>
      <w:r>
        <w:rPr>
          <w:rFonts w:ascii="Times New Roman" w:cs="Times New Roman" w:eastAsia="Times New Roman" w:hAnsi="Times New Roman"/>
          <w:b/>
          <w:bCs/>
          <w:sz w:val="28"/>
          <w:szCs w:val="28"/>
        </w:rPr>
        <w:t xml:space="preserve">2. Background</w:t>
      </w:r>
    </w:p>
    <w:p>
      <w:pPr>
        <w:pStyle w:val="Heading2"/>
        <w:spacing w:after="80" w:before="240"/>
      </w:pPr>
      <w:r>
        <w:rPr>
          <w:rFonts w:ascii="Times New Roman" w:cs="Times New Roman" w:eastAsia="Times New Roman" w:hAnsi="Times New Roman"/>
          <w:b/>
          <w:bCs/>
          <w:sz w:val="24"/>
          <w:szCs w:val="24"/>
        </w:rPr>
        <w:t xml:space="preserve">2.1 BitNet b1.58 and the T36 Format</w:t>
      </w:r>
    </w:p>
    <w:p>
      <w:pPr>
        <w:spacing w:after="160"/>
        <w:jc w:val="both"/>
      </w:pPr>
      <w:r>
        <w:rPr>
          <w:rFonts w:ascii="Times New Roman" w:cs="Times New Roman" w:eastAsia="Times New Roman" w:hAnsi="Times New Roman"/>
          <w:sz w:val="22"/>
          <w:szCs w:val="22"/>
        </w:rPr>
        <w:t xml:space="preserve">BitNet b1.58 [MA24] is a transformer architecture trained end-to-end with ternary weights. The model used in this work, BitNet b1.58 2B4T, has 30 transformer layers, a model dimension of 2560, 20 attention heads with 5 key-value heads (grouped-query attention), a feed-forward dimension of 6912, and a vocabulary of 128,256 tokens. The total parameter count is approximately 2.4 billion.</w:t>
      </w:r>
    </w:p>
    <w:p>
      <w:pPr>
        <w:spacing w:after="160"/>
        <w:jc w:val="both"/>
      </w:pPr>
      <w:r>
        <w:rPr>
          <w:rFonts w:ascii="Times New Roman" w:cs="Times New Roman" w:eastAsia="Times New Roman" w:hAnsi="Times New Roman"/>
          <w:sz w:val="22"/>
          <w:szCs w:val="22"/>
        </w:rPr>
        <w:t xml:space="preserve">Weights are stored in GGUF files using GGML type 36, referred to here as T36. The on-disk format packs four weights per byte: byte p of a block encodes the weights at positions p, p+32, p+64, and p+96 using 2-bit codes in bit pairs (7:6), (5:4), (3:2), (1:0). The code-to-weight mapping is 0 to -1, 1 to 0, 2 to +1.</w:t>
      </w:r>
    </w:p>
    <w:p>
      <w:pPr>
        <w:spacing w:after="160"/>
        <w:jc w:val="both"/>
      </w:pPr>
      <w:r>
        <w:rPr>
          <w:rFonts w:ascii="Times New Roman" w:cs="Times New Roman" w:eastAsia="Times New Roman" w:hAnsi="Times New Roman"/>
          <w:sz w:val="22"/>
          <w:szCs w:val="22"/>
        </w:rPr>
        <w:t xml:space="preserve">Determining the correct block layout required reading the actual tensor offsets from the GGUF file. The format is: all packed weight bytes for the tensor (n/4 bytes, where n is the number of weights), followed by 32 bytes of trailing data, of which the first 4 bytes are a float32 global scale for the entire tensor. This is not interleaved. At least one other implementation describes the format as 34 bytes per block of 128 weights (32 bytes packed, 2 bytes float16 scale), which would also give the correct total file size but produces incorrect results when the scale bytes are read: they contain packed weight data from adjacent blocks, and some of those bytes encode float16 NaN values.</w:t>
      </w:r>
    </w:p>
    <w:p>
      <w:pPr>
        <w:pStyle w:val="Heading2"/>
        <w:spacing w:after="80" w:before="240"/>
      </w:pPr>
      <w:r>
        <w:rPr>
          <w:rFonts w:ascii="Times New Roman" w:cs="Times New Roman" w:eastAsia="Times New Roman" w:hAnsi="Times New Roman"/>
          <w:b/>
          <w:bCs/>
          <w:sz w:val="24"/>
          <w:szCs w:val="24"/>
        </w:rPr>
        <w:t xml:space="preserve">2.2 MLIR and Why We Did Not Use It</w:t>
      </w:r>
    </w:p>
    <w:p>
      <w:pPr>
        <w:spacing w:after="160"/>
        <w:jc w:val="both"/>
      </w:pPr>
      <w:r>
        <w:rPr>
          <w:rFonts w:ascii="Times New Roman" w:cs="Times New Roman" w:eastAsia="Times New Roman" w:hAnsi="Times New Roman"/>
          <w:sz w:val="22"/>
          <w:szCs w:val="22"/>
        </w:rPr>
        <w:t xml:space="preserve">MLIR [LA21] is a compiler infrastructure that allows custom dialects to be defined, composed, and lowered through a sequence of passes. It is the obvious framework for this kind of work. We chose not to use it for one reason: the build toolchain requires several gigabytes of dependencies and a C++ compiler, which makes the barrier to entry high enough that the compiler would not run on the hardware the model is designed for.</w:t>
      </w:r>
    </w:p>
    <w:p>
      <w:pPr>
        <w:spacing w:after="160"/>
        <w:jc w:val="both"/>
      </w:pPr>
      <w:r>
        <w:rPr>
          <w:rFonts w:ascii="Times New Roman" w:cs="Times New Roman" w:eastAsia="Times New Roman" w:hAnsi="Times New Roman"/>
          <w:sz w:val="22"/>
          <w:szCs w:val="22"/>
        </w:rPr>
        <w:t xml:space="preserve">TQ1-IR is structurally identical to an MLIR dialect. It uses static single assignment form, typed values, operation classes with operand and result lists, and a textual IR format that could be parsed by an MLIR tool with a compatible grammar. The implementation is pure Python. A port to actual MLIR would preserve the design and require only replacing the data structures.</w:t>
      </w:r>
    </w:p>
    <w:p>
      <w:pPr>
        <w:pStyle w:val="Heading1"/>
        <w:spacing w:after="120" w:before="360"/>
      </w:pPr>
      <w:r>
        <w:rPr>
          <w:rFonts w:ascii="Times New Roman" w:cs="Times New Roman" w:eastAsia="Times New Roman" w:hAnsi="Times New Roman"/>
          <w:b/>
          <w:bCs/>
          <w:sz w:val="28"/>
          <w:szCs w:val="28"/>
        </w:rPr>
        <w:t xml:space="preserve">3. The TQ1-IR Dialect</w:t>
      </w:r>
    </w:p>
    <w:p>
      <w:pPr>
        <w:pStyle w:val="Heading2"/>
        <w:spacing w:after="80" w:before="240"/>
      </w:pPr>
      <w:r>
        <w:rPr>
          <w:rFonts w:ascii="Times New Roman" w:cs="Times New Roman" w:eastAsia="Times New Roman" w:hAnsi="Times New Roman"/>
          <w:b/>
          <w:bCs/>
          <w:sz w:val="24"/>
          <w:szCs w:val="24"/>
        </w:rPr>
        <w:t xml:space="preserve">3.1 Type System</w:t>
      </w:r>
    </w:p>
    <w:p>
      <w:pPr>
        <w:spacing w:after="160"/>
        <w:jc w:val="both"/>
      </w:pPr>
      <w:r>
        <w:rPr>
          <w:rFonts w:ascii="Times New Roman" w:cs="Times New Roman" w:eastAsia="Times New Roman" w:hAnsi="Times New Roman"/>
          <w:sz w:val="22"/>
          <w:szCs w:val="22"/>
        </w:rPr>
        <w:t xml:space="preserve">TQ1-IR has three tensor types. TernaryTensorType represents weights in {-1, 0, +1} with an associated group size (128 for T36). F32TensorType and I8TensorType represent activations at float32 and int8 precision. The shape field uses -1 for dynamic dimensions (sequence length).</w:t>
      </w:r>
    </w:p>
    <w:p>
      <w:pPr>
        <w:spacing w:after="160"/>
        <w:jc w:val="both"/>
      </w:pPr>
      <w:r>
        <w:rPr>
          <w:rFonts w:ascii="Times New Roman" w:cs="Times New Roman" w:eastAsia="Times New Roman" w:hAnsi="Times New Roman"/>
          <w:sz w:val="22"/>
          <w:szCs w:val="22"/>
        </w:rPr>
        <w:t xml:space="preserve">In the textual IR, these print as:</w:t>
      </w:r>
    </w:p>
    <w:p>
      <w:pPr>
        <w:spacing w:after="40"/>
        <w:ind w:left="720"/>
      </w:pPr>
      <w:r>
        <w:rPr>
          <w:rFonts w:ascii="Courier New" w:cs="Courier New" w:eastAsia="Courier New" w:hAnsi="Courier New"/>
          <w:sz w:val="18"/>
          <w:szCs w:val="18"/>
        </w:rPr>
        <w:t xml:space="preserve">!tq1.ternary&lt;2560x2560, g128&gt;</w:t>
      </w:r>
    </w:p>
    <w:p>
      <w:pPr>
        <w:spacing w:after="40"/>
        <w:ind w:left="720"/>
      </w:pPr>
      <w:r>
        <w:rPr>
          <w:rFonts w:ascii="Courier New" w:cs="Courier New" w:eastAsia="Courier New" w:hAnsi="Courier New"/>
          <w:sz w:val="18"/>
          <w:szCs w:val="18"/>
        </w:rPr>
        <w:t xml:space="preserve">!tq1.f32&lt;?x2560&gt;</w:t>
      </w:r>
    </w:p>
    <w:p>
      <w:pPr>
        <w:spacing w:after="40"/>
        <w:ind w:left="720"/>
      </w:pPr>
      <w:r>
        <w:rPr>
          <w:rFonts w:ascii="Courier New" w:cs="Courier New" w:eastAsia="Courier New" w:hAnsi="Courier New"/>
          <w:sz w:val="18"/>
          <w:szCs w:val="18"/>
        </w:rPr>
        <w:t xml:space="preserve">!tq1.i8&lt;?x2560&gt;</w:t>
      </w:r>
    </w:p>
    <w:p>
      <w:pPr>
        <w:pStyle w:val="Heading2"/>
        <w:spacing w:after="80" w:before="240"/>
      </w:pPr>
      <w:r>
        <w:rPr>
          <w:rFonts w:ascii="Times New Roman" w:cs="Times New Roman" w:eastAsia="Times New Roman" w:hAnsi="Times New Roman"/>
          <w:b/>
          <w:bCs/>
          <w:sz w:val="24"/>
          <w:szCs w:val="24"/>
        </w:rPr>
        <w:t xml:space="preserve">3.2 Operations</w:t>
      </w:r>
    </w:p>
    <w:p>
      <w:pPr>
        <w:spacing w:after="160"/>
        <w:jc w:val="both"/>
      </w:pPr>
      <w:r>
        <w:rPr>
          <w:rFonts w:ascii="Times New Roman" w:cs="Times New Roman" w:eastAsia="Times New Roman" w:hAnsi="Times New Roman"/>
          <w:sz w:val="22"/>
          <w:szCs w:val="22"/>
        </w:rPr>
        <w:t xml:space="preserve">The base dialect has eight operations:</w:t>
      </w:r>
    </w:p>
    <w:p>
      <w:pPr>
        <w:pStyle w:val="ListParagraph"/>
        <w:numPr>
          <w:ilvl w:val="0"/>
          <w:numId w:val="3"/>
        </w:numPr>
        <w:spacing w:after="60"/>
      </w:pPr>
      <w:r>
        <w:rPr>
          <w:rFonts w:ascii="Times New Roman" w:cs="Times New Roman" w:eastAsia="Times New Roman" w:hAnsi="Times New Roman"/>
          <w:b/>
          <w:bCs/>
          <w:sz w:val="22"/>
          <w:szCs w:val="22"/>
        </w:rPr>
        <w:t xml:space="preserve">EmbedOp</w:t>
      </w:r>
      <w:r>
        <w:rPr>
          <w:rFonts w:ascii="Times New Roman" w:cs="Times New Roman" w:eastAsia="Times New Roman" w:hAnsi="Times New Roman"/>
          <w:sz w:val="22"/>
          <w:szCs w:val="22"/>
        </w:rPr>
        <w:t xml:space="preserve"> -- token embedding lookup.</w:t>
      </w:r>
    </w:p>
    <w:p>
      <w:pPr>
        <w:pStyle w:val="ListParagraph"/>
        <w:numPr>
          <w:ilvl w:val="0"/>
          <w:numId w:val="3"/>
        </w:numPr>
        <w:spacing w:after="60"/>
      </w:pPr>
      <w:r>
        <w:rPr>
          <w:rFonts w:ascii="Times New Roman" w:cs="Times New Roman" w:eastAsia="Times New Roman" w:hAnsi="Times New Roman"/>
          <w:b/>
          <w:bCs/>
          <w:sz w:val="22"/>
          <w:szCs w:val="22"/>
        </w:rPr>
        <w:t xml:space="preserve">TernaryLinearOp</w:t>
      </w:r>
      <w:r>
        <w:rPr>
          <w:rFonts w:ascii="Times New Roman" w:cs="Times New Roman" w:eastAsia="Times New Roman" w:hAnsi="Times New Roman"/>
          <w:sz w:val="22"/>
          <w:szCs w:val="22"/>
        </w:rPr>
        <w:t xml:space="preserve"> -- matrix-vector product with ternary weight matrix. This is the TGEMV instruction, the primary operation of the systolic array.</w:t>
      </w:r>
    </w:p>
    <w:p>
      <w:pPr>
        <w:pStyle w:val="ListParagraph"/>
        <w:numPr>
          <w:ilvl w:val="0"/>
          <w:numId w:val="3"/>
        </w:numPr>
        <w:spacing w:after="60"/>
      </w:pPr>
      <w:r>
        <w:rPr>
          <w:rFonts w:ascii="Times New Roman" w:cs="Times New Roman" w:eastAsia="Times New Roman" w:hAnsi="Times New Roman"/>
          <w:b/>
          <w:bCs/>
          <w:sz w:val="22"/>
          <w:szCs w:val="22"/>
        </w:rPr>
        <w:t xml:space="preserve">RMSNormOp</w:t>
      </w:r>
      <w:r>
        <w:rPr>
          <w:rFonts w:ascii="Times New Roman" w:cs="Times New Roman" w:eastAsia="Times New Roman" w:hAnsi="Times New Roman"/>
          <w:sz w:val="22"/>
          <w:szCs w:val="22"/>
        </w:rPr>
        <w:t xml:space="preserve"> -- root-mean-square layer normalization.</w:t>
      </w:r>
    </w:p>
    <w:p>
      <w:pPr>
        <w:pStyle w:val="ListParagraph"/>
        <w:numPr>
          <w:ilvl w:val="0"/>
          <w:numId w:val="3"/>
        </w:numPr>
        <w:spacing w:after="60"/>
      </w:pPr>
      <w:r>
        <w:rPr>
          <w:rFonts w:ascii="Times New Roman" w:cs="Times New Roman" w:eastAsia="Times New Roman" w:hAnsi="Times New Roman"/>
          <w:b/>
          <w:bCs/>
          <w:sz w:val="22"/>
          <w:szCs w:val="22"/>
        </w:rPr>
        <w:t xml:space="preserve">RoPEOp</w:t>
      </w:r>
      <w:r>
        <w:rPr>
          <w:rFonts w:ascii="Times New Roman" w:cs="Times New Roman" w:eastAsia="Times New Roman" w:hAnsi="Times New Roman"/>
          <w:sz w:val="22"/>
          <w:szCs w:val="22"/>
        </w:rPr>
        <w:t xml:space="preserve"> -- rotary positional encoding (NEOX-style, theta=500000).</w:t>
      </w:r>
    </w:p>
    <w:p>
      <w:pPr>
        <w:pStyle w:val="ListParagraph"/>
        <w:numPr>
          <w:ilvl w:val="0"/>
          <w:numId w:val="3"/>
        </w:numPr>
        <w:spacing w:after="60"/>
      </w:pPr>
      <w:r>
        <w:rPr>
          <w:rFonts w:ascii="Times New Roman" w:cs="Times New Roman" w:eastAsia="Times New Roman" w:hAnsi="Times New Roman"/>
          <w:b/>
          <w:bCs/>
          <w:sz w:val="22"/>
          <w:szCs w:val="22"/>
        </w:rPr>
        <w:t xml:space="preserve">AttentionOp</w:t>
      </w:r>
      <w:r>
        <w:rPr>
          <w:rFonts w:ascii="Times New Roman" w:cs="Times New Roman" w:eastAsia="Times New Roman" w:hAnsi="Times New Roman"/>
          <w:sz w:val="22"/>
          <w:szCs w:val="22"/>
        </w:rPr>
        <w:t xml:space="preserve"> -- grouped-query attention with causal mask.</w:t>
      </w:r>
    </w:p>
    <w:p>
      <w:pPr>
        <w:pStyle w:val="ListParagraph"/>
        <w:numPr>
          <w:ilvl w:val="0"/>
          <w:numId w:val="3"/>
        </w:numPr>
        <w:spacing w:after="60"/>
      </w:pPr>
      <w:r>
        <w:rPr>
          <w:rFonts w:ascii="Times New Roman" w:cs="Times New Roman" w:eastAsia="Times New Roman" w:hAnsi="Times New Roman"/>
          <w:b/>
          <w:bCs/>
          <w:sz w:val="22"/>
          <w:szCs w:val="22"/>
        </w:rPr>
        <w:t xml:space="preserve">SiLUMulOp</w:t>
      </w:r>
      <w:r>
        <w:rPr>
          <w:rFonts w:ascii="Times New Roman" w:cs="Times New Roman" w:eastAsia="Times New Roman" w:hAnsi="Times New Roman"/>
          <w:sz w:val="22"/>
          <w:szCs w:val="22"/>
        </w:rPr>
        <w:t xml:space="preserve"> -- SiLU activation applied to the gate projection, multiplied element-wise with the up projection.</w:t>
      </w:r>
    </w:p>
    <w:p>
      <w:pPr>
        <w:pStyle w:val="ListParagraph"/>
        <w:numPr>
          <w:ilvl w:val="0"/>
          <w:numId w:val="3"/>
        </w:numPr>
        <w:spacing w:after="160"/>
      </w:pPr>
      <w:r>
        <w:rPr>
          <w:rFonts w:ascii="Times New Roman" w:cs="Times New Roman" w:eastAsia="Times New Roman" w:hAnsi="Times New Roman"/>
          <w:b/>
          <w:bCs/>
          <w:sz w:val="22"/>
          <w:szCs w:val="22"/>
        </w:rPr>
        <w:t xml:space="preserve">ReturnOp</w:t>
      </w:r>
      <w:r>
        <w:rPr>
          <w:rFonts w:ascii="Times New Roman" w:cs="Times New Roman" w:eastAsia="Times New Roman" w:hAnsi="Times New Roman"/>
          <w:sz w:val="22"/>
          <w:szCs w:val="22"/>
        </w:rPr>
        <w:t xml:space="preserve"> -- function return.</w:t>
      </w:r>
    </w:p>
    <w:p>
      <w:pPr>
        <w:pStyle w:val="Heading2"/>
        <w:spacing w:after="80" w:before="240"/>
      </w:pPr>
      <w:r>
        <w:rPr>
          <w:rFonts w:ascii="Times New Roman" w:cs="Times New Roman" w:eastAsia="Times New Roman" w:hAnsi="Times New Roman"/>
          <w:b/>
          <w:bCs/>
          <w:sz w:val="24"/>
          <w:szCs w:val="24"/>
        </w:rPr>
        <w:t xml:space="preserve">3.3 Module Structure</w:t>
      </w:r>
    </w:p>
    <w:p>
      <w:pPr>
        <w:spacing w:after="160"/>
        <w:jc w:val="both"/>
      </w:pPr>
      <w:r>
        <w:rPr>
          <w:rFonts w:ascii="Times New Roman" w:cs="Times New Roman" w:eastAsia="Times New Roman" w:hAnsi="Times New Roman"/>
          <w:sz w:val="22"/>
          <w:szCs w:val="22"/>
        </w:rPr>
        <w:t xml:space="preserve">A Module contains a weight table and a list of functions. The weight table stores WeightEntry records: name, type, byte offset in the GGUF file, byte size, and GGML type code. Weights are lazy references. No weight data is loaded until the kernel backend requests it.</w:t>
      </w:r>
    </w:p>
    <w:p>
      <w:pPr>
        <w:spacing w:after="160"/>
        <w:jc w:val="both"/>
      </w:pPr>
      <w:r>
        <w:rPr>
          <w:rFonts w:ascii="Times New Roman" w:cs="Times New Roman" w:eastAsia="Times New Roman" w:hAnsi="Times New Roman"/>
          <w:sz w:val="22"/>
          <w:szCs w:val="22"/>
        </w:rPr>
        <w:t xml:space="preserve">Each transformer layer is compiled to a Function named layer_N. The function takes two arguments: the activation tensor (%xN, shape ?x2560) and position indices (%posN, shape ?). The body is a Block of SSA operations. A representative layer function, before optimization passes, is shown below:</w:t>
      </w:r>
    </w:p>
    <w:p>
      <w:pPr>
        <w:spacing w:after="40"/>
        <w:ind w:left="720"/>
      </w:pPr>
      <w:r>
        <w:rPr>
          <w:rFonts w:ascii="Courier New" w:cs="Courier New" w:eastAsia="Courier New" w:hAnsi="Courier New"/>
          <w:sz w:val="18"/>
          <w:szCs w:val="18"/>
        </w:rPr>
        <w:t xml:space="preserve">tq1.func @layer_0(%x0: !tq1.f32&lt;?x2560&gt;, %pos0: !tq1.f32&lt;?&gt;)</w:t>
      </w:r>
    </w:p>
    <w:p>
      <w:pPr>
        <w:spacing w:after="40"/>
        <w:ind w:left="720"/>
      </w:pPr>
      <w:r>
        <w:rPr>
          <w:rFonts w:ascii="Courier New" w:cs="Courier New" w:eastAsia="Courier New" w:hAnsi="Courier New"/>
          <w:sz w:val="18"/>
          <w:szCs w:val="18"/>
        </w:rPr>
        <w:t xml:space="preserve">               -&gt; (!tq1.f32&lt;?x2560&gt;) {</w:t>
      </w:r>
    </w:p>
    <w:p>
      <w:pPr>
        <w:spacing w:after="40"/>
        <w:ind w:left="720"/>
      </w:pPr>
      <w:r>
        <w:rPr>
          <w:rFonts w:ascii="Courier New" w:cs="Courier New" w:eastAsia="Courier New" w:hAnsi="Courier New"/>
          <w:sz w:val="18"/>
          <w:szCs w:val="18"/>
        </w:rPr>
        <w:t xml:space="preserve">  %attn_norm_0 = tq1.rms_norm %x0, @blk.0.attn_norm.weight {eps=1e-05}</w:t>
      </w:r>
    </w:p>
    <w:p>
      <w:pPr>
        <w:spacing w:after="40"/>
        <w:ind w:left="720"/>
      </w:pPr>
      <w:r>
        <w:rPr>
          <w:rFonts w:ascii="Courier New" w:cs="Courier New" w:eastAsia="Courier New" w:hAnsi="Courier New"/>
          <w:sz w:val="18"/>
          <w:szCs w:val="18"/>
        </w:rPr>
        <w:t xml:space="preserve">  %q_0  = tq1.ternary_linear %attn_norm_0, @blk.0.attn_q.weight</w:t>
      </w:r>
    </w:p>
    <w:p>
      <w:pPr>
        <w:spacing w:after="40"/>
        <w:ind w:left="720"/>
      </w:pPr>
      <w:r>
        <w:rPr>
          <w:rFonts w:ascii="Courier New" w:cs="Courier New" w:eastAsia="Courier New" w:hAnsi="Courier New"/>
          <w:sz w:val="18"/>
          <w:szCs w:val="18"/>
        </w:rPr>
        <w:t xml:space="preserve">  %k_0  = tq1.ternary_linear %attn_norm_0, @blk.0.attn_k.weight</w:t>
      </w:r>
    </w:p>
    <w:p>
      <w:pPr>
        <w:spacing w:after="40"/>
        <w:ind w:left="720"/>
      </w:pPr>
      <w:r>
        <w:rPr>
          <w:rFonts w:ascii="Courier New" w:cs="Courier New" w:eastAsia="Courier New" w:hAnsi="Courier New"/>
          <w:sz w:val="18"/>
          <w:szCs w:val="18"/>
        </w:rPr>
        <w:t xml:space="preserve">  %v_0  = tq1.ternary_linear %attn_norm_0, @blk.0.attn_v.weight</w:t>
      </w:r>
    </w:p>
    <w:p>
      <w:pPr>
        <w:spacing w:after="40"/>
        <w:ind w:left="720"/>
      </w:pPr>
      <w:r>
        <w:rPr>
          <w:rFonts w:ascii="Courier New" w:cs="Courier New" w:eastAsia="Courier New" w:hAnsi="Courier New"/>
          <w:sz w:val="18"/>
          <w:szCs w:val="18"/>
        </w:rPr>
        <w:t xml:space="preserve">  %q_rope_0 = tq1.rope %q_0, %pos0 {theta=500000.0}</w:t>
      </w:r>
    </w:p>
    <w:p>
      <w:pPr>
        <w:spacing w:after="40"/>
        <w:ind w:left="720"/>
      </w:pPr>
      <w:r>
        <w:rPr>
          <w:rFonts w:ascii="Courier New" w:cs="Courier New" w:eastAsia="Courier New" w:hAnsi="Courier New"/>
          <w:sz w:val="18"/>
          <w:szCs w:val="18"/>
        </w:rPr>
        <w:t xml:space="preserve">  %k_rope_0 = tq1.rope %k_0, %pos0 {theta=500000.0}</w:t>
      </w:r>
    </w:p>
    <w:p>
      <w:pPr>
        <w:spacing w:after="40"/>
        <w:ind w:left="720"/>
      </w:pPr>
      <w:r>
        <w:rPr>
          <w:rFonts w:ascii="Courier New" w:cs="Courier New" w:eastAsia="Courier New" w:hAnsi="Courier New"/>
          <w:sz w:val="18"/>
          <w:szCs w:val="18"/>
        </w:rPr>
        <w:t xml:space="preserve">  %attn_out_0 = tq1.attention %q_rope_0, %k_rope_0, %v_0</w:t>
      </w:r>
    </w:p>
    <w:p>
      <w:pPr>
        <w:spacing w:after="40"/>
        <w:ind w:left="720"/>
      </w:pPr>
      <w:r>
        <w:rPr>
          <w:rFonts w:ascii="Courier New" w:cs="Courier New" w:eastAsia="Courier New" w:hAnsi="Courier New"/>
          <w:sz w:val="18"/>
          <w:szCs w:val="18"/>
        </w:rPr>
        <w:t xml:space="preserve">                {n_heads=20, n_kv=5, hd=128}</w:t>
      </w:r>
    </w:p>
    <w:p>
      <w:pPr>
        <w:spacing w:after="40"/>
        <w:ind w:left="720"/>
      </w:pPr>
      <w:r>
        <w:rPr>
          <w:rFonts w:ascii="Courier New" w:cs="Courier New" w:eastAsia="Courier New" w:hAnsi="Courier New"/>
          <w:sz w:val="18"/>
          <w:szCs w:val="18"/>
        </w:rPr>
        <w:t xml:space="preserve">  %o_proj_0 = tq1.ternary_linear %attn_out_0, @blk.0.attn_output.weight</w:t>
      </w:r>
    </w:p>
    <w:p>
      <w:pPr>
        <w:spacing w:after="40"/>
        <w:ind w:left="720"/>
      </w:pPr>
      <w:r>
        <w:rPr>
          <w:rFonts w:ascii="Courier New" w:cs="Courier New" w:eastAsia="Courier New" w:hAnsi="Courier New"/>
          <w:sz w:val="18"/>
          <w:szCs w:val="18"/>
        </w:rPr>
        <w:t xml:space="preserve">  %ffn_norm_0 = tq1.rms_norm %o_proj_0, @blk.0.ffn_norm.weight {eps=1e-05}</w:t>
      </w:r>
    </w:p>
    <w:p>
      <w:pPr>
        <w:spacing w:after="40"/>
        <w:ind w:left="720"/>
      </w:pPr>
      <w:r>
        <w:rPr>
          <w:rFonts w:ascii="Courier New" w:cs="Courier New" w:eastAsia="Courier New" w:hAnsi="Courier New"/>
          <w:sz w:val="18"/>
          <w:szCs w:val="18"/>
        </w:rPr>
        <w:t xml:space="preserve">  %gate_0 = tq1.ternary_linear %ffn_norm_0, @blk.0.ffn_gate.weight</w:t>
      </w:r>
    </w:p>
    <w:p>
      <w:pPr>
        <w:spacing w:after="40"/>
        <w:ind w:left="720"/>
      </w:pPr>
      <w:r>
        <w:rPr>
          <w:rFonts w:ascii="Courier New" w:cs="Courier New" w:eastAsia="Courier New" w:hAnsi="Courier New"/>
          <w:sz w:val="18"/>
          <w:szCs w:val="18"/>
        </w:rPr>
        <w:t xml:space="preserve">  %up_0   = tq1.ternary_linear %ffn_norm_0, @blk.0.ffn_up.weight</w:t>
      </w:r>
    </w:p>
    <w:p>
      <w:pPr>
        <w:spacing w:after="40"/>
        <w:ind w:left="720"/>
      </w:pPr>
      <w:r>
        <w:rPr>
          <w:rFonts w:ascii="Courier New" w:cs="Courier New" w:eastAsia="Courier New" w:hAnsi="Courier New"/>
          <w:sz w:val="18"/>
          <w:szCs w:val="18"/>
        </w:rPr>
        <w:t xml:space="preserve">  %act_0  = tq1.silu_mul %gate_0, %up_0</w:t>
      </w:r>
    </w:p>
    <w:p>
      <w:pPr>
        <w:spacing w:after="40"/>
        <w:ind w:left="720"/>
      </w:pPr>
      <w:r>
        <w:rPr>
          <w:rFonts w:ascii="Courier New" w:cs="Courier New" w:eastAsia="Courier New" w:hAnsi="Courier New"/>
          <w:sz w:val="18"/>
          <w:szCs w:val="18"/>
        </w:rPr>
        <w:t xml:space="preserve">  %out_0  = tq1.ternary_linear %act_0, @blk.0.ffn_down.weight</w:t>
      </w:r>
    </w:p>
    <w:p>
      <w:pPr>
        <w:spacing w:after="40"/>
        <w:ind w:left="720"/>
      </w:pPr>
      <w:r>
        <w:rPr>
          <w:rFonts w:ascii="Courier New" w:cs="Courier New" w:eastAsia="Courier New" w:hAnsi="Courier New"/>
          <w:sz w:val="18"/>
          <w:szCs w:val="18"/>
        </w:rPr>
        <w:t xml:space="preserve">  tq1.return %out_0</w:t>
      </w:r>
    </w:p>
    <w:p>
      <w:pPr>
        <w:spacing w:after="40"/>
        <w:ind w:left="720"/>
      </w:pPr>
      <w:r>
        <w:rPr>
          <w:rFonts w:ascii="Courier New" w:cs="Courier New" w:eastAsia="Courier New" w:hAnsi="Courier New"/>
          <w:sz w:val="18"/>
          <w:szCs w:val="18"/>
        </w:rPr>
        <w:t xml:space="preserve">}</w:t>
      </w:r>
    </w:p>
    <w:p>
      <w:pPr>
        <w:spacing w:after="160"/>
        <w:jc w:val="both"/>
      </w:pPr>
      <w:r>
        <w:rPr>
          <w:rFonts w:ascii="Times New Roman" w:cs="Times New Roman" w:eastAsia="Times New Roman" w:hAnsi="Times New Roman"/>
          <w:sz w:val="22"/>
          <w:szCs w:val="22"/>
        </w:rPr>
        <w:t xml:space="preserve">The IR does not currently represent residual additions. These are additions of two float32 tensors, which do not involve the ternary hardware and will be handled by the scalar unit. They will be added in a future revision.</w:t>
      </w:r>
    </w:p>
    <w:p>
      <w:pPr>
        <w:pStyle w:val="Heading1"/>
        <w:spacing w:after="120" w:before="360"/>
      </w:pPr>
      <w:r>
        <w:rPr>
          <w:rFonts w:ascii="Times New Roman" w:cs="Times New Roman" w:eastAsia="Times New Roman" w:hAnsi="Times New Roman"/>
          <w:b/>
          <w:bCs/>
          <w:sz w:val="28"/>
          <w:szCs w:val="28"/>
        </w:rPr>
        <w:t xml:space="preserve">4. Compilation Passes</w:t>
      </w:r>
    </w:p>
    <w:p>
      <w:pPr>
        <w:pStyle w:val="Heading2"/>
        <w:spacing w:after="80" w:before="240"/>
      </w:pPr>
      <w:r>
        <w:rPr>
          <w:rFonts w:ascii="Times New Roman" w:cs="Times New Roman" w:eastAsia="Times New Roman" w:hAnsi="Times New Roman"/>
          <w:b/>
          <w:bCs/>
          <w:sz w:val="24"/>
          <w:szCs w:val="24"/>
        </w:rPr>
        <w:t xml:space="preserve">4.1 Type Verification</w:t>
      </w:r>
    </w:p>
    <w:p>
      <w:pPr>
        <w:spacing w:after="160"/>
        <w:jc w:val="both"/>
      </w:pPr>
      <w:r>
        <w:rPr>
          <w:rFonts w:ascii="Times New Roman" w:cs="Times New Roman" w:eastAsia="Times New Roman" w:hAnsi="Times New Roman"/>
          <w:sz w:val="22"/>
          <w:szCs w:val="22"/>
        </w:rPr>
        <w:t xml:space="preserve">The verify pass checks the IR for type errors before any transformation runs. It validates that all weight references resolve to entries in the module weight table, that activation types are consistent across operations (RMSNorm and RoPE require F32 input, TernaryLinear accepts F32 or I8), that matrix dimensions are compatible (allowing -1 wildcards for dynamic shapes), and that GQA parameters satisfy n_heads % n_kv_heads == 0.</w:t>
      </w:r>
    </w:p>
    <w:p>
      <w:pPr>
        <w:spacing w:after="160"/>
        <w:jc w:val="both"/>
      </w:pPr>
      <w:r>
        <w:rPr>
          <w:rFonts w:ascii="Times New Roman" w:cs="Times New Roman" w:eastAsia="Times New Roman" w:hAnsi="Times New Roman"/>
          <w:sz w:val="22"/>
          <w:szCs w:val="22"/>
        </w:rPr>
        <w:t xml:space="preserve">Applied to the BitNet b1.58 2B4T model, the pass reports 0 errors and 0 warnings across all 420 operations in 30 functions.</w:t>
      </w:r>
    </w:p>
    <w:p>
      <w:pPr>
        <w:pStyle w:val="Heading2"/>
        <w:spacing w:after="80" w:before="240"/>
      </w:pPr>
      <w:r>
        <w:rPr>
          <w:rFonts w:ascii="Times New Roman" w:cs="Times New Roman" w:eastAsia="Times New Roman" w:hAnsi="Times New Roman"/>
          <w:b/>
          <w:bCs/>
          <w:sz w:val="24"/>
          <w:szCs w:val="24"/>
        </w:rPr>
        <w:t xml:space="preserve">4.2 Norm-Linear Fusion</w:t>
      </w:r>
    </w:p>
    <w:p>
      <w:pPr>
        <w:spacing w:after="160"/>
        <w:jc w:val="both"/>
      </w:pPr>
      <w:r>
        <w:rPr>
          <w:rFonts w:ascii="Times New Roman" w:cs="Times New Roman" w:eastAsia="Times New Roman" w:hAnsi="Times New Roman"/>
          <w:sz w:val="22"/>
          <w:szCs w:val="22"/>
        </w:rPr>
        <w:t xml:space="preserve">BitNet layers apply RMSNorm immediately before every linear projection. In the unfused IR, each norm operation writes a full activation tensor to memory before the linear reads it back. The fusion pass identifies RMSNorm-TernaryLinear pairs where the norm output has no other consumers and replaces them with a single FusedNormLinearOp that computes the norm and the projection without materializing the intermediate buffer.</w:t>
      </w:r>
    </w:p>
    <w:p>
      <w:pPr>
        <w:spacing w:after="160"/>
        <w:jc w:val="both"/>
      </w:pPr>
      <w:r>
        <w:rPr>
          <w:rFonts w:ascii="Times New Roman" w:cs="Times New Roman" w:eastAsia="Times New Roman" w:hAnsi="Times New Roman"/>
          <w:sz w:val="22"/>
          <w:szCs w:val="22"/>
        </w:rPr>
        <w:t xml:space="preserve">The pass handles the attention sublayer correctly. The attn_norm output feeds three projections (Q, K, V), so the original RMSNorm has three consumers. The fusion replaces it with three FusedNormLinearOps, each carrying a reference to the norm weight. The intermediate buffer is still eliminated; the norm is recomputed three times. For the hardware target, this is preferable: on a memory-bandwidth-limited system, recomputing 2560 multiplications costs less than reading and writing 10 KB.</w:t>
      </w:r>
    </w:p>
    <w:p>
      <w:pPr>
        <w:spacing w:after="160"/>
        <w:jc w:val="both"/>
      </w:pPr>
      <w:r>
        <w:rPr>
          <w:rFonts w:ascii="Times New Roman" w:cs="Times New Roman" w:eastAsia="Times New Roman" w:hAnsi="Times New Roman"/>
          <w:sz w:val="22"/>
          <w:szCs w:val="22"/>
        </w:rPr>
        <w:t xml:space="preserve">Results for the full model: 60 RMSNorm operations absorbed into 150 FusedNormLinear operations. 60 intermediate buffers eliminated. At a model dimension of 2560 floats at 4 bytes each, this is 10,240 bytes per elimination, or 600 KB per layer.</w:t>
      </w:r>
    </w:p>
    <w:p>
      <w:pPr>
        <w:pStyle w:val="Heading2"/>
        <w:spacing w:after="80" w:before="240"/>
      </w:pPr>
      <w:r>
        <w:rPr>
          <w:rFonts w:ascii="Times New Roman" w:cs="Times New Roman" w:eastAsia="Times New Roman" w:hAnsi="Times New Roman"/>
          <w:b/>
          <w:bCs/>
          <w:sz w:val="24"/>
          <w:szCs w:val="24"/>
        </w:rPr>
        <w:t xml:space="preserve">4.3 Activation Quantization Lowering</w:t>
      </w:r>
    </w:p>
    <w:p>
      <w:pPr>
        <w:spacing w:after="160"/>
        <w:jc w:val="both"/>
      </w:pPr>
      <w:r>
        <w:rPr>
          <w:rFonts w:ascii="Times New Roman" w:cs="Times New Roman" w:eastAsia="Times New Roman" w:hAnsi="Times New Roman"/>
          <w:sz w:val="22"/>
          <w:szCs w:val="22"/>
        </w:rPr>
        <w:t xml:space="preserve">The quantization lowering pass makes the precision of activations explicit in the IR. It inserts a QuantizeOp (F32 to I8 via per-row absmax scaling) after each TernaryLinear or FusedNormLinear, and a DequantizeOp (I8 to F32) before any operation that requires float32 input (RMSNorm, RoPE).</w:t>
      </w:r>
    </w:p>
    <w:p>
      <w:pPr>
        <w:spacing w:after="160"/>
        <w:jc w:val="both"/>
      </w:pPr>
      <w:r>
        <w:rPr>
          <w:rFonts w:ascii="Times New Roman" w:cs="Times New Roman" w:eastAsia="Times New Roman" w:hAnsi="Times New Roman"/>
          <w:sz w:val="22"/>
          <w:szCs w:val="22"/>
        </w:rPr>
        <w:t xml:space="preserve">This pass transforms the implicit float32 data flow into an explicit mixed-precision graph. The hardware backend can use this information to route activations through integer datapaths between ternary operations, loading float32 only when needed.</w:t>
      </w:r>
    </w:p>
    <w:p>
      <w:pPr>
        <w:spacing w:after="160"/>
        <w:jc w:val="both"/>
      </w:pPr>
      <w:r>
        <w:rPr>
          <w:rFonts w:ascii="Times New Roman" w:cs="Times New Roman" w:eastAsia="Times New Roman" w:hAnsi="Times New Roman"/>
          <w:sz w:val="22"/>
          <w:szCs w:val="22"/>
        </w:rPr>
        <w:t xml:space="preserve">Applied to the model after fusion: 210 quantization operations inserted (one Quantize after each of the 150 FusedNormLinear ops and 60 remaining TernaryLinear ops, plus paired Dequantize ops before norm and rope operations that receive quantized values).</w:t>
      </w:r>
    </w:p>
    <w:p>
      <w:pPr>
        <w:pStyle w:val="Heading1"/>
        <w:spacing w:after="120" w:before="360"/>
      </w:pPr>
      <w:r>
        <w:rPr>
          <w:rFonts w:ascii="Times New Roman" w:cs="Times New Roman" w:eastAsia="Times New Roman" w:hAnsi="Times New Roman"/>
          <w:b/>
          <w:bCs/>
          <w:sz w:val="28"/>
          <w:szCs w:val="28"/>
        </w:rPr>
        <w:t xml:space="preserve">5. Backend</w:t>
      </w:r>
    </w:p>
    <w:p>
      <w:pPr>
        <w:pStyle w:val="Heading2"/>
        <w:spacing w:after="80" w:before="240"/>
      </w:pPr>
      <w:r>
        <w:rPr>
          <w:rFonts w:ascii="Times New Roman" w:cs="Times New Roman" w:eastAsia="Times New Roman" w:hAnsi="Times New Roman"/>
          <w:b/>
          <w:bCs/>
          <w:sz w:val="24"/>
          <w:szCs w:val="24"/>
        </w:rPr>
        <w:t xml:space="preserve">5.1 ISA Emitter</w:t>
      </w:r>
    </w:p>
    <w:p>
      <w:pPr>
        <w:spacing w:after="160"/>
        <w:jc w:val="both"/>
      </w:pPr>
      <w:r>
        <w:rPr>
          <w:rFonts w:ascii="Times New Roman" w:cs="Times New Roman" w:eastAsia="Times New Roman" w:hAnsi="Times New Roman"/>
          <w:sz w:val="22"/>
          <w:szCs w:val="22"/>
        </w:rPr>
        <w:t xml:space="preserve">The ISA backend translates TQ1-IR to a symbolic assembly language for the target accelerator. The instruction set has eight instructions: EMBED, TGEMV, TGEMV_N (fused norm and TGEMV), RMSNORM, ROPE, ATTN, SILU_MUL, and RET. QUANT_I8 and DEQUANT instructions are added by the quantization lowering pass.</w:t>
      </w:r>
    </w:p>
    <w:p>
      <w:pPr>
        <w:spacing w:after="160"/>
        <w:jc w:val="both"/>
      </w:pPr>
      <w:r>
        <w:rPr>
          <w:rFonts w:ascii="Times New Roman" w:cs="Times New Roman" w:eastAsia="Times New Roman" w:hAnsi="Times New Roman"/>
          <w:sz w:val="22"/>
          <w:szCs w:val="22"/>
        </w:rPr>
        <w:t xml:space="preserve">For the unfused IR, TGEMV accounts for 210 of 420 total instructions, or exactly 50%. After fusion, the same computation is expressed with FusedNormLinear (TGEMV_N) replacing the separated RMSNORM-TGEMV pairs. The systolic array is involved in every second instruction in the schedule.</w:t>
      </w:r>
    </w:p>
    <w:p>
      <w:pPr>
        <w:spacing w:after="160"/>
        <w:jc w:val="both"/>
      </w:pPr>
      <w:r>
        <w:rPr>
          <w:rFonts w:ascii="Times New Roman" w:cs="Times New Roman" w:eastAsia="Times New Roman" w:hAnsi="Times New Roman"/>
          <w:sz w:val="22"/>
          <w:szCs w:val="22"/>
        </w:rPr>
        <w:t xml:space="preserve">The weight table summary produced by the ISA emitter reports 210 ternary tensors (497 MB) and 122 dense tensors. The ternary tensors are the ones that stream through the systolic array; the dense tensors (norms, embeddings, sub-norm weights) go through conventional vector units.</w:t>
      </w:r>
    </w:p>
    <w:p>
      <w:pPr>
        <w:pStyle w:val="Heading2"/>
        <w:spacing w:after="80" w:before="240"/>
      </w:pPr>
      <w:r>
        <w:rPr>
          <w:rFonts w:ascii="Times New Roman" w:cs="Times New Roman" w:eastAsia="Times New Roman" w:hAnsi="Times New Roman"/>
          <w:b/>
          <w:bCs/>
          <w:sz w:val="24"/>
          <w:szCs w:val="24"/>
        </w:rPr>
        <w:t xml:space="preserve">5.2 Kernel Backend</w:t>
      </w:r>
    </w:p>
    <w:p>
      <w:pPr>
        <w:spacing w:after="160"/>
        <w:jc w:val="both"/>
      </w:pPr>
      <w:r>
        <w:rPr>
          <w:rFonts w:ascii="Times New Roman" w:cs="Times New Roman" w:eastAsia="Times New Roman" w:hAnsi="Times New Roman"/>
          <w:sz w:val="22"/>
          <w:szCs w:val="22"/>
        </w:rPr>
        <w:t xml:space="preserve">The kernel backend is a NumPy executor that runs the IR directly. Its purpose is validation: if the kernel backend produces the same outputs as the reference engine for the same weights and inputs, the frontend and passes are correct.</w:t>
      </w:r>
    </w:p>
    <w:p>
      <w:pPr>
        <w:spacing w:after="160"/>
        <w:jc w:val="both"/>
      </w:pPr>
      <w:r>
        <w:rPr>
          <w:rFonts w:ascii="Times New Roman" w:cs="Times New Roman" w:eastAsia="Times New Roman" w:hAnsi="Times New Roman"/>
          <w:sz w:val="22"/>
          <w:szCs w:val="22"/>
        </w:rPr>
        <w:t xml:space="preserve">The backend uses lazy mmap-based weight loading. Weights are decoded from T36 format to float32 on demand and cached. The T36 decoder, after the format correction described in Section 2.1, reads n/4 bytes of packed weights followed by a float32 global scale. The int8 activation path (via QuantizeOp and DequantizeOp) is implemented but uses a simplified dequantization (without stored per-token scales) that is sufficient for data-flow validation.</w:t>
      </w:r>
    </w:p>
    <w:p>
      <w:pPr>
        <w:spacing w:after="160"/>
        <w:jc w:val="both"/>
      </w:pPr>
      <w:r>
        <w:rPr>
          <w:rFonts w:ascii="Times New Roman" w:cs="Times New Roman" w:eastAsia="Times New Roman" w:hAnsi="Times New Roman"/>
          <w:sz w:val="22"/>
          <w:szCs w:val="22"/>
        </w:rPr>
        <w:t xml:space="preserve">Layer execution is fully traced. Each operation produces a result tensor, and the backend verifies after each step that the output is finite and non-constant before proceeding.</w:t>
      </w:r>
    </w:p>
    <w:p>
      <w:pPr>
        <w:pStyle w:val="Heading1"/>
        <w:spacing w:after="120" w:before="360"/>
      </w:pPr>
      <w:r>
        <w:rPr>
          <w:rFonts w:ascii="Times New Roman" w:cs="Times New Roman" w:eastAsia="Times New Roman" w:hAnsi="Times New Roman"/>
          <w:b/>
          <w:bCs/>
          <w:sz w:val="28"/>
          <w:szCs w:val="28"/>
        </w:rPr>
        <w:t xml:space="preserve">6. Evaluation</w:t>
      </w:r>
    </w:p>
    <w:p>
      <w:pPr>
        <w:pStyle w:val="Heading2"/>
        <w:spacing w:after="80" w:before="240"/>
      </w:pPr>
      <w:r>
        <w:rPr>
          <w:rFonts w:ascii="Times New Roman" w:cs="Times New Roman" w:eastAsia="Times New Roman" w:hAnsi="Times New Roman"/>
          <w:b/>
          <w:bCs/>
          <w:sz w:val="24"/>
          <w:szCs w:val="24"/>
        </w:rPr>
        <w:t xml:space="preserve">6.1 Model Coverage</w:t>
      </w:r>
    </w:p>
    <w:p>
      <w:pPr>
        <w:spacing w:after="160"/>
        <w:jc w:val="both"/>
      </w:pPr>
      <w:r>
        <w:rPr>
          <w:rFonts w:ascii="Times New Roman" w:cs="Times New Roman" w:eastAsia="Times New Roman" w:hAnsi="Times New Roman"/>
          <w:sz w:val="22"/>
          <w:szCs w:val="22"/>
        </w:rPr>
        <w:t xml:space="preserve">The GGUF frontend processes BitNet b1.58 2B4T in 0.43 seconds on a consumer laptop (Intel Core i3-1115G4, no GPU). It registers 332 tensors and constructs 30 layer functions. Architecture metadata is read from the GGUF key-value section using automatic prefix detection (the model uses the "bitnet-b1.58." prefix rather than the standard "llama." prefix).</w:t>
      </w:r>
    </w:p>
    <w:p>
      <w:pPr>
        <w:pStyle w:val="Heading2"/>
        <w:spacing w:after="80" w:before="240"/>
      </w:pPr>
      <w:r>
        <w:rPr>
          <w:rFonts w:ascii="Times New Roman" w:cs="Times New Roman" w:eastAsia="Times New Roman" w:hAnsi="Times New Roman"/>
          <w:b/>
          <w:bCs/>
          <w:sz w:val="24"/>
          <w:szCs w:val="24"/>
        </w:rPr>
        <w:t xml:space="preserve">6.2 Pass Results</w:t>
      </w:r>
    </w:p>
    <w:p>
      <w:pPr>
        <w:spacing w:after="8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Summary of pass results on BitNet b1.58 2B4T.</w:t>
      </w:r>
    </w:p>
    <w:p>
      <w:pPr>
        <w:spacing w:after="160"/>
        <w:jc w:val="both"/>
      </w:pPr>
      <w:r>
        <w:rPr>
          <w:rFonts w:ascii="Times New Roman" w:cs="Times New Roman" w:eastAsia="Times New Roman" w:hAnsi="Times New Roman"/>
          <w:sz w:val="22"/>
          <w:szCs w:val="22"/>
        </w:rPr>
        <w:t xml:space="preserve">Verify pass: 0 errors, 0 warnings.</w:t>
      </w:r>
    </w:p>
    <w:p>
      <w:pPr>
        <w:spacing w:after="160"/>
        <w:jc w:val="both"/>
      </w:pPr>
      <w:r>
        <w:rPr>
          <w:rFonts w:ascii="Times New Roman" w:cs="Times New Roman" w:eastAsia="Times New Roman" w:hAnsi="Times New Roman"/>
          <w:sz w:val="22"/>
          <w:szCs w:val="22"/>
        </w:rPr>
        <w:t xml:space="preserve">Fusion pass: 60 RMSNorm ops absorbed, 150 FusedNormLinear ops created, 60 intermediate buffers eliminated (600 KB/layer).</w:t>
      </w:r>
    </w:p>
    <w:p>
      <w:pPr>
        <w:spacing w:after="160"/>
        <w:jc w:val="both"/>
      </w:pPr>
      <w:r>
        <w:rPr>
          <w:rFonts w:ascii="Times New Roman" w:cs="Times New Roman" w:eastAsia="Times New Roman" w:hAnsi="Times New Roman"/>
          <w:sz w:val="22"/>
          <w:szCs w:val="22"/>
        </w:rPr>
        <w:t xml:space="preserve">Quantization lowering: 210 quantization operations inserted.</w:t>
      </w:r>
    </w:p>
    <w:p>
      <w:pPr>
        <w:spacing w:after="160"/>
        <w:jc w:val="both"/>
      </w:pPr>
      <w:r>
        <w:rPr>
          <w:rFonts w:ascii="Times New Roman" w:cs="Times New Roman" w:eastAsia="Times New Roman" w:hAnsi="Times New Roman"/>
          <w:sz w:val="22"/>
          <w:szCs w:val="22"/>
        </w:rPr>
        <w:t xml:space="preserve">ISA instruction count (unfused): 420 total; TGEMV 210 (50%), RMSNORM 60 (14%), ROPE 60 (14%), ATTN 30 (7%), SILU_MUL 30 (7%).</w:t>
      </w:r>
    </w:p>
    <w:p>
      <w:pPr>
        <w:pStyle w:val="Heading2"/>
        <w:spacing w:after="80" w:before="240"/>
      </w:pPr>
      <w:r>
        <w:rPr>
          <w:rFonts w:ascii="Times New Roman" w:cs="Times New Roman" w:eastAsia="Times New Roman" w:hAnsi="Times New Roman"/>
          <w:b/>
          <w:bCs/>
          <w:sz w:val="24"/>
          <w:szCs w:val="24"/>
        </w:rPr>
        <w:t xml:space="preserve">6.3 Weight Decoding Accuracy</w:t>
      </w:r>
    </w:p>
    <w:p>
      <w:pPr>
        <w:spacing w:after="160"/>
        <w:jc w:val="both"/>
      </w:pPr>
      <w:r>
        <w:rPr>
          <w:rFonts w:ascii="Times New Roman" w:cs="Times New Roman" w:eastAsia="Times New Roman" w:hAnsi="Times New Roman"/>
          <w:sz w:val="22"/>
          <w:szCs w:val="22"/>
        </w:rPr>
        <w:t xml:space="preserve">Four weight tensors were decoded by TQ1-IR and compared against the output of the reference engine (mom/engine, a separately implemented GGUF reader for the same model). All four report max absolute difference of 0.00 at float32 precision:</w:t>
      </w:r>
    </w:p>
    <w:p>
      <w:pPr>
        <w:pStyle w:val="ListParagraph"/>
        <w:numPr>
          <w:ilvl w:val="0"/>
          <w:numId w:val="3"/>
        </w:numPr>
        <w:spacing w:after="60"/>
      </w:pPr>
      <w:r>
        <w:rPr>
          <w:rFonts w:ascii="Times New Roman" w:cs="Times New Roman" w:eastAsia="Times New Roman" w:hAnsi="Times New Roman"/>
          <w:sz w:val="22"/>
          <w:szCs w:val="22"/>
        </w:rPr>
        <w:t xml:space="preserve">blk.0.attn_q.weight (2560x2560 ternary)</w:t>
      </w:r>
    </w:p>
    <w:p>
      <w:pPr>
        <w:pStyle w:val="ListParagraph"/>
        <w:numPr>
          <w:ilvl w:val="0"/>
          <w:numId w:val="3"/>
        </w:numPr>
        <w:spacing w:after="60"/>
      </w:pPr>
      <w:r>
        <w:rPr>
          <w:rFonts w:ascii="Times New Roman" w:cs="Times New Roman" w:eastAsia="Times New Roman" w:hAnsi="Times New Roman"/>
          <w:sz w:val="22"/>
          <w:szCs w:val="22"/>
        </w:rPr>
        <w:t xml:space="preserve">blk.0.attn_v.weight (640x2560 ternary)</w:t>
      </w:r>
    </w:p>
    <w:p>
      <w:pPr>
        <w:pStyle w:val="ListParagraph"/>
        <w:numPr>
          <w:ilvl w:val="0"/>
          <w:numId w:val="3"/>
        </w:numPr>
        <w:spacing w:after="60"/>
      </w:pPr>
      <w:r>
        <w:rPr>
          <w:rFonts w:ascii="Times New Roman" w:cs="Times New Roman" w:eastAsia="Times New Roman" w:hAnsi="Times New Roman"/>
          <w:sz w:val="22"/>
          <w:szCs w:val="22"/>
        </w:rPr>
        <w:t xml:space="preserve">blk.0.ffn_gate.weight (6912x2560 ternary)</w:t>
      </w:r>
    </w:p>
    <w:p>
      <w:pPr>
        <w:pStyle w:val="ListParagraph"/>
        <w:numPr>
          <w:ilvl w:val="0"/>
          <w:numId w:val="3"/>
        </w:numPr>
        <w:spacing w:after="160"/>
      </w:pPr>
      <w:r>
        <w:rPr>
          <w:rFonts w:ascii="Times New Roman" w:cs="Times New Roman" w:eastAsia="Times New Roman" w:hAnsi="Times New Roman"/>
          <w:sz w:val="22"/>
          <w:szCs w:val="22"/>
        </w:rPr>
        <w:t xml:space="preserve">blk.5.attn_q.weight (2560x2560 ternary, layer 5)</w:t>
      </w:r>
    </w:p>
    <w:p>
      <w:pPr>
        <w:spacing w:after="160"/>
        <w:jc w:val="both"/>
      </w:pPr>
      <w:r>
        <w:rPr>
          <w:rFonts w:ascii="Times New Roman" w:cs="Times New Roman" w:eastAsia="Times New Roman" w:hAnsi="Times New Roman"/>
          <w:sz w:val="22"/>
          <w:szCs w:val="22"/>
        </w:rPr>
        <w:t xml:space="preserve">The kernel backend executes layer 0 on a random input (4 tokens, float32) in 0.48 seconds. All 13 operations produce finite, non-constant outputs.</w:t>
      </w:r>
    </w:p>
    <w:p>
      <w:pPr>
        <w:pStyle w:val="Heading1"/>
        <w:spacing w:after="120" w:before="360"/>
      </w:pPr>
      <w:r>
        <w:rPr>
          <w:rFonts w:ascii="Times New Roman" w:cs="Times New Roman" w:eastAsia="Times New Roman" w:hAnsi="Times New Roman"/>
          <w:b/>
          <w:bCs/>
          <w:sz w:val="28"/>
          <w:szCs w:val="28"/>
        </w:rPr>
        <w:t xml:space="preserve">7. Future Work</w:t>
      </w:r>
    </w:p>
    <w:p>
      <w:pPr>
        <w:spacing w:after="160"/>
        <w:jc w:val="both"/>
      </w:pPr>
      <w:r>
        <w:rPr>
          <w:rFonts w:ascii="Times New Roman" w:cs="Times New Roman" w:eastAsia="Times New Roman" w:hAnsi="Times New Roman"/>
          <w:sz w:val="22"/>
          <w:szCs w:val="22"/>
        </w:rPr>
        <w:t xml:space="preserve">The most immediate gap is residual additions. The current IR models the computation inside each sublayer but does not represent the skip connections that add the layer input back to the sublayer output. Adding a ResidualAddOp is straightforward; the operation has no hardware novelty and the main question is where in the pass order it interacts with quantization lowering.</w:t>
      </w:r>
    </w:p>
    <w:p>
      <w:pPr>
        <w:spacing w:after="160"/>
        <w:jc w:val="both"/>
      </w:pPr>
      <w:r>
        <w:rPr>
          <w:rFonts w:ascii="Times New Roman" w:cs="Times New Roman" w:eastAsia="Times New Roman" w:hAnsi="Times New Roman"/>
          <w:sz w:val="22"/>
          <w:szCs w:val="22"/>
        </w:rPr>
        <w:t xml:space="preserve">The ISA definition is a natural fit for TAIDL [AC25], which takes an accelerator ISA description and generates a compiler backend automatically. Mapping TQ1-IR to a TAIDL specification would produce a backend that targets real FPGA or ASIC implementations rather than symbolic assembly.</w:t>
      </w:r>
    </w:p>
    <w:p>
      <w:pPr>
        <w:spacing w:after="160"/>
        <w:jc w:val="both"/>
      </w:pPr>
      <w:r>
        <w:rPr>
          <w:rFonts w:ascii="Times New Roman" w:cs="Times New Roman" w:eastAsia="Times New Roman" w:hAnsi="Times New Roman"/>
          <w:sz w:val="22"/>
          <w:szCs w:val="22"/>
        </w:rPr>
        <w:t xml:space="preserve">On the model side, the evaluation here is limited to BitNet b1.58 2B4T. Falcon-E-3B [FE25] is a ternary model with 32K native context trained at 1 billion and 3 billion parameters. Adapting the frontend to its architecture (which omits the BitNet sub-norm layers present in the 2B4T model) would broaden the compiler coverage without requiring changes to the pass infrastructure.</w:t>
      </w:r>
    </w:p>
    <w:p>
      <w:pPr>
        <w:spacing w:after="160"/>
        <w:jc w:val="both"/>
      </w:pPr>
      <w:r>
        <w:rPr>
          <w:rFonts w:ascii="Times New Roman" w:cs="Times New Roman" w:eastAsia="Times New Roman" w:hAnsi="Times New Roman"/>
          <w:sz w:val="22"/>
          <w:szCs w:val="22"/>
        </w:rPr>
        <w:t xml:space="preserve">Whoever implements the TQ1-IR ISA on actual FPGA or ASIC hardware is requested to contact the author.</w:t>
      </w:r>
    </w:p>
    <w:p>
      <w:pPr>
        <w:pStyle w:val="Heading1"/>
        <w:spacing w:after="120" w:before="360"/>
      </w:pPr>
      <w:r>
        <w:rPr>
          <w:rFonts w:ascii="Times New Roman" w:cs="Times New Roman" w:eastAsia="Times New Roman" w:hAnsi="Times New Roman"/>
          <w:b/>
          <w:bCs/>
          <w:sz w:val="28"/>
          <w:szCs w:val="28"/>
        </w:rPr>
        <w:t xml:space="preserve">8. Conclusion</w:t>
      </w:r>
    </w:p>
    <w:p>
      <w:pPr>
        <w:spacing w:after="160"/>
        <w:jc w:val="both"/>
      </w:pPr>
      <w:r>
        <w:rPr>
          <w:rFonts w:ascii="Times New Roman" w:cs="Times New Roman" w:eastAsia="Times New Roman" w:hAnsi="Times New Roman"/>
          <w:sz w:val="22"/>
          <w:szCs w:val="22"/>
        </w:rPr>
        <w:t xml:space="preserve">TQ1-IR is a working compiler pipeline for ternary weight transformers. It reads a production model from disk, constructs a typed SSA representation, applies three optimization passes, emits symbolic hardware instructions, and validates weight decoding against an independent reference. The implementation requires no external compiler infrastructure and runs on the same consumer hardware the model targets.</w:t>
      </w:r>
    </w:p>
    <w:p>
      <w:pPr>
        <w:spacing w:after="160"/>
        <w:jc w:val="both"/>
      </w:pPr>
      <w:r>
        <w:rPr>
          <w:rFonts w:ascii="Times New Roman" w:cs="Times New Roman" w:eastAsia="Times New Roman" w:hAnsi="Times New Roman"/>
          <w:sz w:val="22"/>
          <w:szCs w:val="22"/>
        </w:rPr>
        <w:t xml:space="preserve">The key finding from the implementation work is practical: the T36 weight format is not interleaved 34-byte blocks, it is a packed section followed by a single float32 scale, and getting this wrong produces NaN values that are not immediately traceable to the format misreading. Getting it right requires reading the actual tensor offsets from the GGUF file and checking the gaps.</w:t>
      </w:r>
    </w:p>
    <w:p>
      <w:pPr>
        <w:pStyle w:val="Heading1"/>
        <w:spacing w:after="120" w:before="360"/>
      </w:pPr>
      <w:r>
        <w:rPr>
          <w:rFonts w:ascii="Times New Roman" w:cs="Times New Roman" w:eastAsia="Times New Roman" w:hAnsi="Times New Roman"/>
          <w:b/>
          <w:bCs/>
          <w:sz w:val="28"/>
          <w:szCs w:val="28"/>
        </w:rPr>
        <w:t xml:space="preserve">References</w:t>
      </w:r>
    </w:p>
    <w:p>
      <w:pPr>
        <w:spacing w:after="160"/>
        <w:jc w:val="both"/>
      </w:pPr>
      <w:r>
        <w:rPr>
          <w:rFonts w:ascii="Times New Roman" w:cs="Times New Roman" w:eastAsia="Times New Roman" w:hAnsi="Times New Roman"/>
          <w:sz w:val="22"/>
          <w:szCs w:val="22"/>
        </w:rPr>
        <w:t xml:space="preserve">[MA24] Ma, S. et al. The Era of 1-bit LLMs: All Large Language Models are in 1.58 Bits. arXiv:2402.17764, 2024.</w:t>
      </w:r>
    </w:p>
    <w:p>
      <w:pPr>
        <w:spacing w:after="160"/>
        <w:jc w:val="both"/>
      </w:pPr>
      <w:r>
        <w:rPr>
          <w:rFonts w:ascii="Times New Roman" w:cs="Times New Roman" w:eastAsia="Times New Roman" w:hAnsi="Times New Roman"/>
          <w:sz w:val="22"/>
          <w:szCs w:val="22"/>
        </w:rPr>
        <w:t xml:space="preserve">[LA21] Lattner, C. et al. MLIR: Scaling Compiler Infrastructure for Domain Specific Computation. CGO 2021.</w:t>
      </w:r>
    </w:p>
    <w:p>
      <w:pPr>
        <w:spacing w:after="160"/>
        <w:jc w:val="both"/>
      </w:pPr>
      <w:r>
        <w:rPr>
          <w:rFonts w:ascii="Times New Roman" w:cs="Times New Roman" w:eastAsia="Times New Roman" w:hAnsi="Times New Roman"/>
          <w:sz w:val="22"/>
          <w:szCs w:val="22"/>
        </w:rPr>
        <w:t xml:space="preserve">[AC25] ACT: Auto Compiler Tool for Tensor Accelerators. tiiuae/ACT, 2025.</w:t>
      </w:r>
    </w:p>
    <w:p>
      <w:pPr>
        <w:spacing w:after="160"/>
        <w:jc w:val="both"/>
      </w:pPr>
      <w:r>
        <w:rPr>
          <w:rFonts w:ascii="Times New Roman" w:cs="Times New Roman" w:eastAsia="Times New Roman" w:hAnsi="Times New Roman"/>
          <w:sz w:val="22"/>
          <w:szCs w:val="22"/>
        </w:rPr>
        <w:t xml:space="preserve">[FE25] Falcon-E: Ternary Large Language Models. Technology Innovation Institute,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TQ1-IR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2026-06-12T06:45:21.336Z</dcterms:created>
  <dcterms:modified xsi:type="dcterms:W3CDTF">2026-06-12T06:45:21.337Z</dcterms:modified>
</cp:coreProperties>
</file>

<file path=docProps/custom.xml><?xml version="1.0" encoding="utf-8"?>
<Properties xmlns="http://schemas.openxmlformats.org/officeDocument/2006/custom-properties" xmlns:vt="http://schemas.openxmlformats.org/officeDocument/2006/docPropsVTypes"/>
</file>