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r w:rsidR="0038254B">
        <w:rPr>
          <w:rStyle w:val="EndnoteReference"/>
        </w:rPr>
        <w:endnoteReference w:id="1"/>
      </w:r>
    </w:p>
    <w:p w:rsidR="00623B38" w:rsidRDefault="00D17D9B" w:rsidP="00D17D9B">
      <w:pPr>
        <w:pStyle w:val="ListParagraph"/>
        <w:numPr>
          <w:ilvl w:val="0"/>
          <w:numId w:val="20"/>
        </w:numPr>
      </w:pPr>
      <w:r>
        <w:t>NEM 662 Electrical Interface Next 18, with which this standard is intended to be in harmony</w:t>
      </w:r>
      <w:r w:rsidR="0038254B">
        <w:rPr>
          <w:rStyle w:val="EndnoteReference"/>
        </w:rPr>
        <w:endnoteReference w:id="2"/>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405838">
        <w:fldChar w:fldCharType="begin"/>
      </w:r>
      <w:r w:rsidR="00405838">
        <w:instrText xml:space="preserve"> REF _Ref49975861 \h </w:instrText>
      </w:r>
      <w:r w:rsidR="00405838">
        <w:fldChar w:fldCharType="separate"/>
      </w:r>
      <w:r w:rsidR="00782C8F">
        <w:t xml:space="preserve">Figure </w:t>
      </w:r>
      <w:r w:rsidR="00782C8F">
        <w:rPr>
          <w:noProof/>
        </w:rPr>
        <w:t>1</w:t>
      </w:r>
      <w:r w:rsidR="00405838">
        <w:fldChar w:fldCharType="end"/>
      </w:r>
      <w:r w:rsidRPr="00D17D9B">
        <w:t>) on the system board of vehicle and the enca</w:t>
      </w:r>
      <w:r w:rsidR="001178E1">
        <w:t xml:space="preserve">psulated 18-pin </w:t>
      </w:r>
      <w:r w:rsidR="00D532C4">
        <w:t>plug</w:t>
      </w:r>
      <w:r w:rsidR="001178E1">
        <w:t xml:space="preserve"> (</w:t>
      </w:r>
      <w:r w:rsidR="00405838">
        <w:fldChar w:fldCharType="begin"/>
      </w:r>
      <w:r w:rsidR="00405838">
        <w:instrText xml:space="preserve"> REF _Ref49975851 \h </w:instrText>
      </w:r>
      <w:r w:rsidR="00405838">
        <w:fldChar w:fldCharType="separate"/>
      </w:r>
      <w:r w:rsidR="00782C8F">
        <w:t xml:space="preserve">Figure </w:t>
      </w:r>
      <w:r w:rsidR="00782C8F">
        <w:rPr>
          <w:noProof/>
        </w:rPr>
        <w:t>2</w:t>
      </w:r>
      <w:r w:rsidR="00405838">
        <w:fldChar w:fldCharType="end"/>
      </w:r>
      <w:r w:rsidRPr="00D17D9B">
        <w:t>) on the decoder.</w:t>
      </w:r>
    </w:p>
    <w:p w:rsidR="00117F07" w:rsidRDefault="00117F07" w:rsidP="00D17D9B">
      <w:r>
        <w:rPr>
          <w:noProof/>
        </w:rPr>
        <w:drawing>
          <wp:anchor distT="0" distB="0" distL="114300" distR="114300" simplePos="0" relativeHeight="251651072" behindDoc="0" locked="0" layoutInCell="1" allowOverlap="1" wp14:anchorId="75444C2B" wp14:editId="582B0F78">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06FD668F" wp14:editId="42542802">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57216" behindDoc="0" locked="0" layoutInCell="1" allowOverlap="1" wp14:anchorId="624D17CA" wp14:editId="42967EB8">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0" w:name="_Ref49975861"/>
                            <w:r>
                              <w:t xml:space="preserve">Figure </w:t>
                            </w:r>
                            <w:r w:rsidR="00197E53">
                              <w:fldChar w:fldCharType="begin"/>
                            </w:r>
                            <w:r w:rsidR="00197E53">
                              <w:instrText xml:space="preserve"> SEQ Figure \* ARABIC </w:instrText>
                            </w:r>
                            <w:r w:rsidR="00197E53">
                              <w:fldChar w:fldCharType="separate"/>
                            </w:r>
                            <w:r w:rsidR="00782C8F">
                              <w:rPr>
                                <w:noProof/>
                              </w:rPr>
                              <w:t>1</w:t>
                            </w:r>
                            <w:r w:rsidR="00197E53">
                              <w:rPr>
                                <w:noProof/>
                              </w:rPr>
                              <w:fldChar w:fldCharType="end"/>
                            </w:r>
                            <w:bookmarkEnd w:id="0"/>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w15="http://schemas.microsoft.com/office/word/2012/wordml">
            <w:pict>
              <v:shapetype w14:anchorId="624D17CA" id="_x0000_t202" coordsize="21600,21600" o:spt="202" path="m,l,21600r21600,l21600,xe">
                <v:stroke joinstyle="miter"/>
                <v:path gradientshapeok="t" o:connecttype="rect"/>
              </v:shapetype>
              <v:shape id="Text Box 1" o:spid="_x0000_s1026" type="#_x0000_t202" style="position:absolute;margin-left:81.55pt;margin-top:6.1pt;width:127.85pt;height:.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" filled="f" stroked="f">
                <v:textbox style="mso-fit-shape-to-text:t" inset="0,0,0,0">
                  <w:txbxContent>
                    <w:p w:rsidR="00CC37F9" w:rsidRPr="00C94D5F" w:rsidRDefault="00CC37F9" w:rsidP="00C427B1">
                      <w:pPr>
                        <w:pStyle w:val="Caption"/>
                        <w:rPr>
                          <w:noProof/>
                        </w:rPr>
                      </w:pPr>
                      <w:bookmarkStart w:id="2" w:name="_Ref49975861"/>
                      <w:r>
                        <w:t xml:space="preserve">Figure </w:t>
                      </w:r>
                      <w:fldSimple w:instr=" SEQ Figure \* ARABIC ">
                        <w:r w:rsidR="00782C8F">
                          <w:rPr>
                            <w:noProof/>
                          </w:rPr>
                          <w:t>1</w:t>
                        </w:r>
                      </w:fldSimple>
                      <w:bookmarkEnd w:id="2"/>
                      <w:r>
                        <w:t>: 18-pin socket</w:t>
                      </w:r>
                    </w:p>
                  </w:txbxContent>
                </v:textbox>
                <w10:wrap type="square"/>
              </v:shape>
            </w:pict>
          </mc:Fallback>
        </mc:AlternateContent>
      </w:r>
    </w:p>
    <w:p w:rsidR="00C7699E" w:rsidRDefault="00C07439" w:rsidP="00D17D9B">
      <w:r>
        <w:rPr>
          <w:noProof/>
        </w:rPr>
        <mc:AlternateContent>
          <mc:Choice Requires="wps">
            <w:drawing>
              <wp:anchor distT="0" distB="0" distL="114300" distR="114300" simplePos="0" relativeHeight="251655168" behindDoc="0" locked="0" layoutInCell="1" allowOverlap="1" wp14:anchorId="518D4E3D" wp14:editId="34FF5918">
                <wp:simplePos x="0" y="0"/>
                <wp:positionH relativeFrom="column">
                  <wp:posOffset>3405375</wp:posOffset>
                </wp:positionH>
                <wp:positionV relativeFrom="paragraph">
                  <wp:posOffset>-170685</wp:posOffset>
                </wp:positionV>
                <wp:extent cx="1655438" cy="326328"/>
                <wp:effectExtent l="0" t="0" r="2540" b="15240"/>
                <wp:wrapSquare wrapText="bothSides"/>
                <wp:docPr id="2" name="Text Box 2"/>
                <wp:cNvGraphicFramePr/>
                <a:graphic xmlns:a="http://schemas.openxmlformats.org/drawingml/2006/main">
                  <a:graphicData uri="http://schemas.microsoft.com/office/word/2010/wordprocessingShape">
                    <wps:wsp>
                      <wps:cNvSpPr txBox="1"/>
                      <wps:spPr>
                        <a:xfrm>
                          <a:off x="0" y="0"/>
                          <a:ext cx="1655438" cy="326328"/>
                        </a:xfrm>
                        <a:prstGeom prst="rect">
                          <a:avLst/>
                        </a:prstGeom>
                        <a:noFill/>
                        <a:ln>
                          <a:noFill/>
                        </a:ln>
                        <a:effectLst/>
                      </wps:spPr>
                      <wps:txbx>
                        <w:txbxContent>
                          <w:p w:rsidR="00CC37F9" w:rsidRPr="00950230" w:rsidRDefault="00CC37F9" w:rsidP="00C427B1">
                            <w:pPr>
                              <w:pStyle w:val="Caption"/>
                              <w:rPr>
                                <w:noProof/>
                              </w:rPr>
                            </w:pPr>
                            <w:bookmarkStart w:id="1" w:name="_Ref49975851"/>
                            <w:r>
                              <w:t xml:space="preserve">Figure </w:t>
                            </w:r>
                            <w:r w:rsidR="00197E53">
                              <w:fldChar w:fldCharType="begin"/>
                            </w:r>
                            <w:r w:rsidR="00197E53">
                              <w:instrText xml:space="preserve"> SEQ Figure \* ARABIC </w:instrText>
                            </w:r>
                            <w:r w:rsidR="00197E53">
                              <w:fldChar w:fldCharType="separate"/>
                            </w:r>
                            <w:r w:rsidR="00782C8F">
                              <w:rPr>
                                <w:noProof/>
                              </w:rPr>
                              <w:t>2</w:t>
                            </w:r>
                            <w:r w:rsidR="00197E53">
                              <w:rPr>
                                <w:noProof/>
                              </w:rPr>
                              <w:fldChar w:fldCharType="end"/>
                            </w:r>
                            <w:bookmarkEnd w:id="1"/>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18D4E3D" id="Text Box 2" o:spid="_x0000_s1027" type="#_x0000_t202" style="position:absolute;margin-left:268.15pt;margin-top:-13.45pt;width:130.35pt;height:25.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" filled="f" stroked="f">
                <v:textbox style="mso-fit-shape-to-text:t" inset="0,0,0,0">
                  <w:txbxContent>
                    <w:p w:rsidR="00CC37F9" w:rsidRPr="00950230" w:rsidRDefault="00CC37F9" w:rsidP="00C427B1">
                      <w:pPr>
                        <w:pStyle w:val="Caption"/>
                        <w:rPr>
                          <w:noProof/>
                        </w:rPr>
                      </w:pPr>
                      <w:bookmarkStart w:id="4" w:name="_Ref49975851"/>
                      <w:r>
                        <w:t xml:space="preserve">Figure </w:t>
                      </w:r>
                      <w:fldSimple w:instr=" SEQ Figure \* ARABIC ">
                        <w:r w:rsidR="00782C8F">
                          <w:rPr>
                            <w:noProof/>
                          </w:rPr>
                          <w:t>2</w:t>
                        </w:r>
                      </w:fldSimple>
                      <w:bookmarkEnd w:id="4"/>
                      <w:r>
                        <w:t>: 18-pin plug</w:t>
                      </w:r>
                    </w:p>
                  </w:txbxContent>
                </v:textbox>
                <w10:wrap type="square"/>
              </v:shape>
            </w:pict>
          </mc:Fallback>
        </mc:AlternateContent>
      </w:r>
    </w:p>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r w:rsidR="004655D9">
        <w:t>e</w:t>
      </w:r>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2" w:name="_Ref49975800"/>
      <w:r>
        <w:t xml:space="preserve">Table </w:t>
      </w:r>
      <w:r w:rsidR="00197E53">
        <w:fldChar w:fldCharType="begin"/>
      </w:r>
      <w:r w:rsidR="00197E53">
        <w:instrText xml:space="preserve"> SEQ Table \* ARABIC </w:instrText>
      </w:r>
      <w:r w:rsidR="00197E53">
        <w:fldChar w:fldCharType="separate"/>
      </w:r>
      <w:r w:rsidR="00782C8F">
        <w:rPr>
          <w:noProof/>
        </w:rPr>
        <w:t>1</w:t>
      </w:r>
      <w:r w:rsidR="00197E53">
        <w:rPr>
          <w:noProof/>
        </w:rPr>
        <w:fldChar w:fldCharType="end"/>
      </w:r>
      <w:bookmarkEnd w:id="2"/>
      <w:r w:rsidR="00627998">
        <w:t>: Decoder dimensions</w:t>
      </w:r>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782C8F">
        <w:t xml:space="preserve">Table </w:t>
      </w:r>
      <w:r w:rsidR="00782C8F">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782C8F">
        <w:t>above</w:t>
      </w:r>
      <w:r w:rsidR="001178E1">
        <w:fldChar w:fldCharType="end"/>
      </w:r>
      <w:r>
        <w:t>, should be dimensioned so that the decoder fits into the installation space</w:t>
      </w:r>
      <w:r w:rsidR="004655D9">
        <w:t xml:space="preserve"> without pressure or constraint</w:t>
      </w:r>
      <w:r>
        <w:t>.</w:t>
      </w:r>
    </w:p>
    <w:p w:rsidR="00C7699E" w:rsidRDefault="00C7699E" w:rsidP="00627998">
      <w:pPr>
        <w:suppressLineNumbers/>
      </w:pPr>
      <w:r w:rsidRPr="00C7699E">
        <w:rPr>
          <w:noProof/>
        </w:rPr>
        <w:lastRenderedPageBreak/>
        <w:drawing>
          <wp:anchor distT="0" distB="0" distL="114300" distR="114300" simplePos="0" relativeHeight="251659264" behindDoc="1" locked="0" layoutInCell="1" allowOverlap="1" wp14:anchorId="262D4533" wp14:editId="31C47345">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1312" behindDoc="0" locked="0" layoutInCell="1" allowOverlap="1" wp14:anchorId="5886EB51" wp14:editId="4AFE66AE">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r w:rsidR="00197E53">
                              <w:fldChar w:fldCharType="begin"/>
                            </w:r>
                            <w:r w:rsidR="00197E53">
                              <w:instrText xml:space="preserve"> SEQ Figure \* ARABIC </w:instrText>
                            </w:r>
                            <w:r w:rsidR="00197E53">
                              <w:fldChar w:fldCharType="separate"/>
                            </w:r>
                            <w:r w:rsidR="00782C8F">
                              <w:rPr>
                                <w:noProof/>
                              </w:rPr>
                              <w:t>3</w:t>
                            </w:r>
                            <w:r w:rsidR="00197E53">
                              <w:rPr>
                                <w:noProof/>
                              </w:rPr>
                              <w:fldChar w:fldCharType="end"/>
                            </w:r>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5886EB51" id="Text Box 9" o:spid="_x0000_s1028" type="#_x0000_t202" style="position:absolute;margin-left:-318.4pt;margin-top:17.35pt;width:295.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fldSimple w:instr=" SEQ Figure \* ARABIC ">
                        <w:r w:rsidR="00782C8F">
                          <w:rPr>
                            <w:noProof/>
                          </w:rPr>
                          <w:t>3</w:t>
                        </w:r>
                      </w:fldSimple>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1CB5FC67" wp14:editId="0CA0B112">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r w:rsidR="00197E53">
        <w:fldChar w:fldCharType="begin"/>
      </w:r>
      <w:r w:rsidR="00197E53">
        <w:instrText xml:space="preserve"> SEQ Figure \* ARABIC </w:instrText>
      </w:r>
      <w:r w:rsidR="00197E53">
        <w:fldChar w:fldCharType="separate"/>
      </w:r>
      <w:r w:rsidR="00782C8F">
        <w:rPr>
          <w:noProof/>
        </w:rPr>
        <w:t>4</w:t>
      </w:r>
      <w:r w:rsidR="00197E53">
        <w:rPr>
          <w:noProof/>
        </w:rPr>
        <w:fldChar w:fldCharType="end"/>
      </w:r>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3360" behindDoc="1" locked="0" layoutInCell="1" allowOverlap="1" wp14:anchorId="0BB5B51E" wp14:editId="54F1EE81">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A76E0A"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A76E0A"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A76E0A"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5408" behindDoc="1" locked="0" layoutInCell="1" allowOverlap="1" wp14:anchorId="6057A3F4" wp14:editId="1D39A05C">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782C8F"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782C8F"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782C8F"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r w:rsidR="00003969">
        <w:rPr>
          <w:b/>
        </w:rPr>
        <w:t xml:space="preserve"> (Informative)</w:t>
      </w:r>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r w:rsidR="00003969">
        <w:rPr>
          <w:b/>
        </w:rPr>
        <w:t xml:space="preserve"> (Normative)</w:t>
      </w:r>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r w:rsidR="00003969">
        <w:t xml:space="preserve"> (Informative)</w:t>
      </w:r>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r w:rsidR="00003969">
        <w:t>h</w:t>
      </w:r>
      <w:r>
        <w:t>ee</w:t>
      </w:r>
      <w:r w:rsidR="00003969">
        <w:t>l</w:t>
      </w:r>
      <w:r>
        <w:t>s for the incoming power supply.</w:t>
      </w:r>
    </w:p>
    <w:p w:rsidR="00CC37F9" w:rsidRDefault="00CC37F9" w:rsidP="00CC37F9">
      <w:pPr>
        <w:ind w:left="1440" w:hanging="1080"/>
      </w:pPr>
      <w:r>
        <w:t>Group 2</w:t>
      </w:r>
      <w:r>
        <w:tab/>
        <w:t>Motor + (pin 2) is normally connected to the right rail. Motor – (pin 11) is normally connected to the left rail</w:t>
      </w:r>
      <w:r w:rsidR="00003969">
        <w:t xml:space="preserve"> </w:t>
      </w:r>
      <w:r w:rsidR="004655D9">
        <w:t>if</w:t>
      </w:r>
      <w:r w:rsidR="00003969">
        <w:t xml:space="preserve"> no decoder is present</w:t>
      </w:r>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782C8F">
        <w:t xml:space="preserve">Table </w:t>
      </w:r>
      <w:r w:rsidR="00782C8F">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782C8F">
        <w:t>below</w:t>
      </w:r>
      <w:r w:rsidR="00C427B1">
        <w:fldChar w:fldCharType="end"/>
      </w:r>
      <w:r>
        <w:t>. Maximum load 0.5 mA.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r w:rsidR="00003969" w:rsidRPr="00003969">
        <w:t xml:space="preserve">During startup, these decoder outputs may be briefly undefined. If this brief undefined state is critical to the system board operation, then precautions should be implemented on the system board. </w:t>
      </w:r>
      <w:r>
        <w:t>(AUX5/AUX6 NEXT18 only)</w:t>
      </w:r>
    </w:p>
    <w:p w:rsidR="00CC37F9" w:rsidRDefault="00CC37F9" w:rsidP="00CC37F9">
      <w:pPr>
        <w:ind w:left="1440" w:hanging="1080"/>
      </w:pPr>
      <w:r>
        <w:t>Group 5</w:t>
      </w:r>
      <w:r>
        <w:tab/>
      </w:r>
      <w:r w:rsidR="005B0B4B" w:rsidRPr="005B0B4B">
        <w:t xml:space="preserve">The effective impedance of the speaker(s), as observed by the decoder, is 4Ω - 8Ω and must be documented by the decoder manufacturer. Impedance of factory installed speakers must be documented by the vehicle manufacturer. </w:t>
      </w:r>
      <w:r>
        <w:t>(NEXT18-S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3" w:name="_Ref49980401"/>
      <w:bookmarkStart w:id="4" w:name="_Ref49980407"/>
      <w:r>
        <w:t xml:space="preserve">Table </w:t>
      </w:r>
      <w:r w:rsidR="00197E53">
        <w:fldChar w:fldCharType="begin"/>
      </w:r>
      <w:r w:rsidR="00197E53">
        <w:instrText xml:space="preserve"> SEQ Table \* ARABIC </w:instrText>
      </w:r>
      <w:r w:rsidR="00197E53">
        <w:fldChar w:fldCharType="separate"/>
      </w:r>
      <w:r w:rsidR="00782C8F">
        <w:rPr>
          <w:noProof/>
        </w:rPr>
        <w:t>2</w:t>
      </w:r>
      <w:r w:rsidR="00197E53">
        <w:rPr>
          <w:noProof/>
        </w:rPr>
        <w:fldChar w:fldCharType="end"/>
      </w:r>
      <w:bookmarkEnd w:id="3"/>
      <w:r>
        <w:t>: TTL/LVTTL voltage levels</w:t>
      </w:r>
      <w:bookmarkEnd w:id="4"/>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26099D9B" wp14:editId="59F01115">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r w:rsidR="00197E53">
        <w:fldChar w:fldCharType="begin"/>
      </w:r>
      <w:r w:rsidR="00197E53">
        <w:instrText xml:space="preserve"> SEQ Figure \* ARABIC </w:instrText>
      </w:r>
      <w:r w:rsidR="00197E53">
        <w:fldChar w:fldCharType="separate"/>
      </w:r>
      <w:r w:rsidR="00782C8F">
        <w:rPr>
          <w:noProof/>
        </w:rPr>
        <w:t>5</w:t>
      </w:r>
      <w:r w:rsidR="00197E53">
        <w:rPr>
          <w:noProof/>
        </w:rPr>
        <w:fldChar w:fldCharType="end"/>
      </w:r>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363D53" w:rsidP="002973A0">
            <w:r>
              <w:t>Dec 6</w:t>
            </w:r>
            <w:bookmarkStart w:id="5" w:name="_GoBack"/>
            <w:bookmarkEnd w:id="5"/>
            <w:r w:rsidR="004D09B6">
              <w:t>, 2020</w:t>
            </w:r>
          </w:p>
        </w:tc>
        <w:tc>
          <w:tcPr>
            <w:tcW w:w="8316" w:type="dxa"/>
          </w:tcPr>
          <w:p w:rsidR="00276555" w:rsidRDefault="00276555" w:rsidP="00276555">
            <w:r>
              <w:t>First Revision</w:t>
            </w:r>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E53" w:rsidRDefault="00197E53">
      <w:r>
        <w:separator/>
      </w:r>
    </w:p>
  </w:endnote>
  <w:endnote w:type="continuationSeparator" w:id="0">
    <w:p w:rsidR="00197E53" w:rsidRDefault="00197E53">
      <w:r>
        <w:continuationSeparator/>
      </w:r>
    </w:p>
  </w:endnote>
  <w:endnote w:id="1">
    <w:p w:rsidR="0038254B" w:rsidRDefault="0038254B">
      <w:pPr>
        <w:pStyle w:val="EndnoteText"/>
      </w:pPr>
      <w:r>
        <w:rPr>
          <w:rStyle w:val="EndnoteReference"/>
        </w:rPr>
        <w:endnoteRef/>
      </w:r>
      <w:r>
        <w:t xml:space="preserve"> </w:t>
      </w:r>
      <w:r w:rsidRPr="0038254B">
        <w:t xml:space="preserve">RCN stands for </w:t>
      </w:r>
      <w:proofErr w:type="spellStart"/>
      <w:r w:rsidRPr="0038254B">
        <w:t>RailCommun</w:t>
      </w:r>
      <w:r w:rsidR="00405838">
        <w:t>i</w:t>
      </w:r>
      <w:r w:rsidRPr="0038254B">
        <w:t>ty</w:t>
      </w:r>
      <w:proofErr w:type="spellEnd"/>
      <w:r w:rsidRPr="0038254B">
        <w:t xml:space="preserve"> </w:t>
      </w:r>
      <w:proofErr w:type="spellStart"/>
      <w:r w:rsidRPr="0038254B">
        <w:t>Normen</w:t>
      </w:r>
      <w:proofErr w:type="spellEnd"/>
      <w:r w:rsidRPr="0038254B">
        <w:t xml:space="preserve">. The direct German to English translation of </w:t>
      </w:r>
      <w:proofErr w:type="spellStart"/>
      <w:r w:rsidRPr="0038254B">
        <w:t>Normen</w:t>
      </w:r>
      <w:proofErr w:type="spellEnd"/>
      <w:r w:rsidRPr="0038254B">
        <w:t xml:space="preserve"> is Norms and in this context is intended to have an equivalent meaning to Standards. </w:t>
      </w:r>
      <w:proofErr w:type="spellStart"/>
      <w:r w:rsidRPr="0038254B">
        <w:t>RailCommunity</w:t>
      </w:r>
      <w:proofErr w:type="spellEnd"/>
      <w:r w:rsidRPr="0038254B">
        <w:t xml:space="preserve"> is an organization of manufacturers that creates German language standards for model railway electronics.</w:t>
      </w:r>
    </w:p>
  </w:endnote>
  <w:endnote w:id="2">
    <w:p w:rsidR="0038254B" w:rsidRDefault="0038254B">
      <w:pPr>
        <w:pStyle w:val="EndnoteText"/>
      </w:pPr>
      <w:r>
        <w:rPr>
          <w:rStyle w:val="EndnoteReference"/>
        </w:rPr>
        <w:endnoteRef/>
      </w:r>
      <w:r>
        <w:t xml:space="preserve"> </w:t>
      </w:r>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197E53" w:rsidP="002A46D5">
          <w:pPr>
            <w:jc w:val="right"/>
          </w:pPr>
          <w:r>
            <w:fldChar w:fldCharType="begin"/>
          </w:r>
          <w:r>
            <w:instrText xml:space="preserve"> DOCPROPERTY "Company"  \* MERGEFORMAT </w:instrText>
          </w:r>
          <w:r>
            <w:fldChar w:fldCharType="separate"/>
          </w:r>
          <w:r w:rsidR="00782C8F">
            <w:t>© 2020 National Model Railroad Association, Inc.</w:t>
          </w:r>
          <w:r>
            <w:fldChar w:fldCharType="end"/>
          </w:r>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82C8F">
            <w:rPr>
              <w:rStyle w:val="PageNumber"/>
              <w:noProof/>
            </w:rPr>
            <w:t>10</w:t>
          </w:r>
          <w:r>
            <w:rPr>
              <w:rStyle w:val="PageNumber"/>
            </w:rPr>
            <w:fldChar w:fldCharType="end"/>
          </w:r>
        </w:p>
      </w:tc>
      <w:tc>
        <w:tcPr>
          <w:tcW w:w="3616" w:type="pct"/>
        </w:tcPr>
        <w:p w:rsidR="00CC37F9" w:rsidRDefault="00197E53" w:rsidP="002A46D5">
          <w:pPr>
            <w:jc w:val="right"/>
          </w:pPr>
          <w:r>
            <w:fldChar w:fldCharType="begin"/>
          </w:r>
          <w:r>
            <w:instrText xml:space="preserve"> TITLE  \* MERGEFORMAT </w:instrText>
          </w:r>
          <w:r>
            <w:fldChar w:fldCharType="separate"/>
          </w:r>
          <w:r w:rsidR="00782C8F">
            <w:t>S-9.1.1.5 Draft</w:t>
          </w:r>
          <w:r>
            <w:fldChar w:fldCharType="end"/>
          </w:r>
          <w:r w:rsidR="00CC37F9">
            <w:t xml:space="preserve"> </w:t>
          </w:r>
          <w:r>
            <w:fldChar w:fldCharType="begin"/>
          </w:r>
          <w:r>
            <w:instrText xml:space="preserve"> SUBJECT  \* MERGEFORMAT </w:instrText>
          </w:r>
          <w:r>
            <w:fldChar w:fldCharType="separate"/>
          </w:r>
          <w:r w:rsidR="00782C8F">
            <w:t>Next18 &amp; Next18-S Decoder Interface</w:t>
          </w:r>
          <w:r>
            <w:fldChar w:fldCharType="end"/>
          </w:r>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197E53"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197E53"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363D53">
      <w:rPr>
        <w:rStyle w:val="PageNumber"/>
        <w:noProof/>
      </w:rPr>
      <w:t>7</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363D53">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rPr>
          <w:rStyle w:val="PageNumber"/>
        </w:rPr>
      </w:sdtEndPr>
      <w:sdtContent>
        <w:r w:rsidR="00A76E0A">
          <w:rPr>
            <w:rStyle w:val="PageNumber"/>
          </w:rPr>
          <w:t>Dec 6,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197E53"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197E53"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363D53">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363D53">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rPr>
          <w:rStyle w:val="PageNumber"/>
        </w:rPr>
      </w:sdtEndPr>
      <w:sdtContent>
        <w:r w:rsidR="00A76E0A">
          <w:rPr>
            <w:rStyle w:val="PageNumber"/>
          </w:rPr>
          <w:t>Dec 6,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E53" w:rsidRDefault="00197E53">
      <w:r>
        <w:separator/>
      </w:r>
    </w:p>
  </w:footnote>
  <w:footnote w:type="continuationSeparator" w:id="0">
    <w:p w:rsidR="00197E53" w:rsidRDefault="00197E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2CC20E3" wp14:editId="3C1652FF">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197E53"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197E5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sdtContent>
              <w:r w:rsidR="00A76E0A">
                <w:rPr>
                  <w:sz w:val="20"/>
                </w:rPr>
                <w:t>Dec 6, 2020</w:t>
              </w:r>
            </w:sdtContent>
          </w:sdt>
        </w:p>
      </w:tc>
      <w:tc>
        <w:tcPr>
          <w:tcW w:w="1025" w:type="pct"/>
          <w:vAlign w:val="center"/>
        </w:tcPr>
        <w:p w:rsidR="00CC37F9" w:rsidRDefault="00197E53"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75303"/>
    <w:rsid w:val="000B53FB"/>
    <w:rsid w:val="0011715A"/>
    <w:rsid w:val="001178E1"/>
    <w:rsid w:val="00117F07"/>
    <w:rsid w:val="001418C6"/>
    <w:rsid w:val="00152F81"/>
    <w:rsid w:val="00166EE5"/>
    <w:rsid w:val="0019474D"/>
    <w:rsid w:val="00197E53"/>
    <w:rsid w:val="001A1300"/>
    <w:rsid w:val="001E03BC"/>
    <w:rsid w:val="001F1E89"/>
    <w:rsid w:val="001F517C"/>
    <w:rsid w:val="0022554F"/>
    <w:rsid w:val="00233421"/>
    <w:rsid w:val="00276555"/>
    <w:rsid w:val="00277E8C"/>
    <w:rsid w:val="002973A0"/>
    <w:rsid w:val="002A058D"/>
    <w:rsid w:val="002A46D5"/>
    <w:rsid w:val="002B5928"/>
    <w:rsid w:val="002D1287"/>
    <w:rsid w:val="002D25D9"/>
    <w:rsid w:val="003428C9"/>
    <w:rsid w:val="00363D53"/>
    <w:rsid w:val="003652CB"/>
    <w:rsid w:val="0038254B"/>
    <w:rsid w:val="0039569D"/>
    <w:rsid w:val="00405838"/>
    <w:rsid w:val="00436468"/>
    <w:rsid w:val="0044186D"/>
    <w:rsid w:val="0044692D"/>
    <w:rsid w:val="004655D9"/>
    <w:rsid w:val="004810A4"/>
    <w:rsid w:val="004D09B6"/>
    <w:rsid w:val="0050155D"/>
    <w:rsid w:val="00507562"/>
    <w:rsid w:val="00543A0A"/>
    <w:rsid w:val="005703AC"/>
    <w:rsid w:val="005B0B4B"/>
    <w:rsid w:val="00623B38"/>
    <w:rsid w:val="00627998"/>
    <w:rsid w:val="00627D4B"/>
    <w:rsid w:val="00643AF9"/>
    <w:rsid w:val="00686F5E"/>
    <w:rsid w:val="00736230"/>
    <w:rsid w:val="00782C8F"/>
    <w:rsid w:val="007B19D6"/>
    <w:rsid w:val="007D32FF"/>
    <w:rsid w:val="00800DAA"/>
    <w:rsid w:val="00802D30"/>
    <w:rsid w:val="0082606B"/>
    <w:rsid w:val="008422C8"/>
    <w:rsid w:val="00851FCA"/>
    <w:rsid w:val="008921D9"/>
    <w:rsid w:val="008E667E"/>
    <w:rsid w:val="009010F3"/>
    <w:rsid w:val="00937078"/>
    <w:rsid w:val="0097522D"/>
    <w:rsid w:val="00983B36"/>
    <w:rsid w:val="009870A1"/>
    <w:rsid w:val="009E51BF"/>
    <w:rsid w:val="00A41607"/>
    <w:rsid w:val="00A50314"/>
    <w:rsid w:val="00A76E0A"/>
    <w:rsid w:val="00B57674"/>
    <w:rsid w:val="00B97C75"/>
    <w:rsid w:val="00BF381A"/>
    <w:rsid w:val="00BF5426"/>
    <w:rsid w:val="00C07439"/>
    <w:rsid w:val="00C17D43"/>
    <w:rsid w:val="00C26BC2"/>
    <w:rsid w:val="00C3636A"/>
    <w:rsid w:val="00C427B1"/>
    <w:rsid w:val="00C42899"/>
    <w:rsid w:val="00C7192F"/>
    <w:rsid w:val="00C72046"/>
    <w:rsid w:val="00C7234E"/>
    <w:rsid w:val="00C7699E"/>
    <w:rsid w:val="00CC37F9"/>
    <w:rsid w:val="00D125F0"/>
    <w:rsid w:val="00D17D9B"/>
    <w:rsid w:val="00D31FA4"/>
    <w:rsid w:val="00D532C4"/>
    <w:rsid w:val="00D746DA"/>
    <w:rsid w:val="00DA5232"/>
    <w:rsid w:val="00E5526D"/>
    <w:rsid w:val="00E70DC3"/>
    <w:rsid w:val="00EA0AE8"/>
    <w:rsid w:val="00EB0D3C"/>
    <w:rsid w:val="00EC7602"/>
    <w:rsid w:val="00F40E66"/>
    <w:rsid w:val="00F42337"/>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202F4A"/>
    <w:rsid w:val="002A1AD2"/>
    <w:rsid w:val="005503D4"/>
    <w:rsid w:val="005F4B75"/>
    <w:rsid w:val="00810202"/>
    <w:rsid w:val="008328EB"/>
    <w:rsid w:val="00996774"/>
    <w:rsid w:val="00AA6D5A"/>
    <w:rsid w:val="00E3564E"/>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A917C-833E-453B-8523-C6C7C186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TotalTime>
  <Pages>9</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16974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Baker, Stuart</cp:lastModifiedBy>
  <cp:revision>4</cp:revision>
  <cp:lastPrinted>2020-11-17T14:40:00Z</cp:lastPrinted>
  <dcterms:created xsi:type="dcterms:W3CDTF">2020-12-06T23:11:00Z</dcterms:created>
  <dcterms:modified xsi:type="dcterms:W3CDTF">2020-12-29T16:45:00Z</dcterms:modified>
</cp:coreProperties>
</file>