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pPr>
        <w:pStyle w:val="Heading2"/>
      </w:pPr>
      <w:r>
        <w:t>Introduction and Intended Use (Informative)</w:t>
      </w:r>
    </w:p>
    <w:p>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
        <w:t>The main goals are as follows:</w:t>
      </w:r>
    </w:p>
    <w:p>
      <w:pPr>
        <w:pStyle w:val="ListParagraph"/>
        <w:numPr>
          <w:ilvl w:val="0"/>
          <w:numId w:val="21"/>
        </w:numPr>
      </w:pPr>
      <w:r>
        <w:t>Define the electrical characteristics of the interface.</w:t>
      </w:r>
    </w:p>
    <w:p>
      <w:pPr>
        <w:pStyle w:val="ListParagraph"/>
        <w:numPr>
          <w:ilvl w:val="0"/>
          <w:numId w:val="21"/>
        </w:numPr>
      </w:pPr>
      <w:r>
        <w:t>Define limits on the amount of distortion that each component can introduce to the DCC signal measured at the track.</w:t>
      </w:r>
    </w:p>
    <w:p>
      <w:pPr>
        <w:pStyle w:val="ListParagraph"/>
        <w:numPr>
          <w:ilvl w:val="0"/>
          <w:numId w:val="21"/>
        </w:numPr>
      </w:pPr>
      <w:r>
        <w:t>Define the transmission medium of the interface.</w:t>
      </w:r>
    </w:p>
    <w:p>
      <w:pPr>
        <w:pStyle w:val="ListParagraph"/>
        <w:numPr>
          <w:ilvl w:val="0"/>
          <w:numId w:val="21"/>
        </w:numPr>
      </w:pPr>
      <w:r>
        <w:t>Define the allowable physical topology of the interface.</w:t>
      </w:r>
    </w:p>
    <w:p>
      <w:pPr>
        <w:pStyle w:val="ListParagraph"/>
        <w:numPr>
          <w:ilvl w:val="0"/>
          <w:numId w:val="21"/>
        </w:numPr>
      </w:pPr>
      <w:r>
        <w:t>Define the labeling of various components and connections.</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 which specifies DCC bit timing and track voltage.</w:t>
      </w:r>
    </w:p>
    <w:p>
      <w:pPr>
        <w:pStyle w:val="ListParagraph"/>
        <w:numPr>
          <w:ilvl w:val="0"/>
          <w:numId w:val="20"/>
        </w:numPr>
      </w:pPr>
      <w:r>
        <w:t>S-9.2.4 Fail-Safe Operating Characteristics for Digital Command Control, which specifies how system components interact under adverse conditions.</w:t>
      </w:r>
    </w:p>
    <w:p>
      <w:pPr>
        <w:pStyle w:val="ListParagraph"/>
        <w:numPr>
          <w:ilvl w:val="0"/>
          <w:numId w:val="20"/>
        </w:numPr>
      </w:pPr>
      <w:r>
        <w:t>S-9.3.2 DCC Basic Decoder Transmission, which defines communication from a DCC decoder to a track circuit based detector.</w:t>
      </w:r>
    </w:p>
    <w:p>
      <w:pPr>
        <w:pStyle w:val="Heading3"/>
      </w:pPr>
      <w:r>
        <w:t>Informative</w:t>
      </w:r>
    </w:p>
    <w:p>
      <w:pPr>
        <w:pStyle w:val="ListParagraph"/>
        <w:numPr>
          <w:ilvl w:val="0"/>
          <w:numId w:val="20"/>
        </w:numPr>
      </w:pPr>
      <w:r>
        <w:t>TN-9.1.2 Power Station Interface, which provides commentary on the Power Station Interface Standard.</w:t>
      </w:r>
    </w:p>
    <w:p>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pPr>
        <w:pStyle w:val="ListParagraph"/>
        <w:numPr>
          <w:ilvl w:val="0"/>
          <w:numId w:val="20"/>
        </w:numPr>
      </w:pPr>
      <w:r>
        <w:t>RCN-217 DCC Feedback Protocol (</w:t>
      </w:r>
      <w:proofErr w:type="spellStart"/>
      <w:r>
        <w:t>RailCom</w:t>
      </w:r>
      <w:proofErr w:type="spellEnd"/>
      <w:r>
        <w:rPr>
          <w:rStyle w:val="FootnoteReference"/>
        </w:rPr>
        <w:footnoteReference w:id="1"/>
      </w:r>
      <w:r>
        <w:t xml:space="preserve">), with which S-9.3.2 is intended to be in </w:t>
      </w:r>
      <w:proofErr w:type="spellStart"/>
      <w:r>
        <w:t>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proofErr w:type="spellEnd"/>
      <w:r>
        <w:rPr>
          <w:vertAlign w:val="superscript"/>
        </w:rPr>
        <w:fldChar w:fldCharType="end"/>
      </w:r>
    </w:p>
    <w:p>
      <w:pPr>
        <w:pStyle w:val="ListParagraph"/>
        <w:numPr>
          <w:ilvl w:val="0"/>
          <w:numId w:val="20"/>
        </w:numPr>
      </w:pPr>
      <w:r>
        <w:t>NEM 670 Digital Command Control Signal DCC Bit Representation, with which S-9.1 is intended to be in harmony.</w:t>
      </w:r>
      <w:r>
        <w:rPr>
          <w:rStyle w:val="EndnoteReference"/>
        </w:rPr>
        <w:endnoteReference w:id="2"/>
      </w:r>
    </w:p>
    <w:p>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pPr>
        <w:pStyle w:val="ListParagraph"/>
        <w:numPr>
          <w:ilvl w:val="0"/>
          <w:numId w:val="20"/>
        </w:numPr>
      </w:pPr>
      <w:r>
        <w:lastRenderedPageBreak/>
        <w:t xml:space="preserve">Electrical Characteristics of Generators and Receivers for Use in Balanced Digital Multipoint Systems, ANSI TIA/EIA-485 </w:t>
      </w:r>
      <w:proofErr w:type="spellStart"/>
      <w:r>
        <w:t>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proofErr w:type="spellEnd"/>
      <w:r>
        <w:rPr>
          <w:vertAlign w:val="superscript"/>
        </w:rPr>
        <w:fldChar w:fldCharType="end"/>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Bipolar Signal</w:t>
            </w:r>
          </w:p>
        </w:tc>
        <w:tc>
          <w:tcPr>
            <w:tcW w:w="7596" w:type="dxa"/>
          </w:tcPr>
          <w:p>
            <w:r>
              <w:t>An electrical signal that carries information having equal voltage components above and below 0 volts. In the context of the NMRA DCC standard, this signal will have a positive half-cycle and a negative half-cycle. (+ volts and - volts respectively)</w:t>
            </w:r>
          </w:p>
        </w:tc>
      </w:tr>
      <w:tr>
        <w:tc>
          <w:tcPr>
            <w:tcW w:w="2268" w:type="dxa"/>
          </w:tcPr>
          <w:p>
            <w:r>
              <w:t>Unipolar Signal</w:t>
            </w:r>
          </w:p>
        </w:tc>
        <w:tc>
          <w:tcPr>
            <w:tcW w:w="7596" w:type="dxa"/>
          </w:tcPr>
          <w:p>
            <w:r>
              <w:t>An electrical signal that carries the same information as a bipolar signal, but only has a positive electrical component. This signal will have a positive half-cycle and a half-cycle where the output is at 0 volts.</w:t>
            </w:r>
          </w:p>
        </w:tc>
      </w:tr>
      <w:tr>
        <w:tc>
          <w:tcPr>
            <w:tcW w:w="2268" w:type="dxa"/>
          </w:tcPr>
          <w:p>
            <w:r>
              <w:t>Power Station Feedback</w:t>
            </w:r>
          </w:p>
        </w:tc>
        <w:tc>
          <w:tcPr>
            <w:tcW w:w="7596" w:type="dxa"/>
          </w:tcPr>
          <w:p>
            <w:r>
              <w:t>A means of transmitting information from a Power Station to a Command Station.</w:t>
            </w:r>
          </w:p>
        </w:tc>
      </w:tr>
      <w:tr>
        <w:tc>
          <w:tcPr>
            <w:tcW w:w="2268" w:type="dxa"/>
          </w:tcPr>
          <w:p>
            <w:r>
              <w:t>DCC Positive Polarity</w:t>
            </w:r>
          </w:p>
        </w:tc>
        <w:tc>
          <w:tcPr>
            <w:tcW w:w="7596" w:type="dxa"/>
          </w:tcPr>
          <w:p>
            <w:r>
              <w:t>The wire or rail which has a positive voltage for the first half-cycle of the DCC bit.</w:t>
            </w:r>
          </w:p>
        </w:tc>
      </w:tr>
      <w:tr>
        <w:tc>
          <w:tcPr>
            <w:tcW w:w="2268" w:type="dxa"/>
          </w:tcPr>
          <w:p>
            <w:r>
              <w:t>Command Station</w:t>
            </w:r>
          </w:p>
        </w:tc>
        <w:tc>
          <w:tcPr>
            <w:tcW w:w="7596" w:type="dxa"/>
          </w:tcPr>
          <w:p>
            <w:r>
              <w:t>The DCC system component whose purpose is to generate and source a stream of DCC bit data to the Power Station Interface.</w:t>
            </w:r>
          </w:p>
        </w:tc>
      </w:tr>
      <w:tr>
        <w:tc>
          <w:tcPr>
            <w:tcW w:w="2268" w:type="dxa"/>
          </w:tcPr>
          <w:p>
            <w:r>
              <w:t>Power Station</w:t>
            </w:r>
          </w:p>
        </w:tc>
        <w:tc>
          <w:tcPr>
            <w:tcW w:w="7596" w:type="dxa"/>
          </w:tcPr>
          <w:p>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c>
          <w:tcPr>
            <w:tcW w:w="2268" w:type="dxa"/>
          </w:tcPr>
          <w:p>
            <w:r>
              <w:t>Power Station Interface</w:t>
            </w:r>
          </w:p>
        </w:tc>
        <w:tc>
          <w:tcPr>
            <w:tcW w:w="7596" w:type="dxa"/>
          </w:tcPr>
          <w:p>
            <w:r>
              <w:t>The communications medium (“wires”) which connects a Command Station's signal generator to one or more Power Stations.</w:t>
            </w:r>
          </w:p>
        </w:tc>
      </w:tr>
      <w:tr>
        <w:tc>
          <w:tcPr>
            <w:tcW w:w="2268" w:type="dxa"/>
          </w:tcPr>
          <w:p>
            <w:r>
              <w:t>Power Station Interface Repeater</w:t>
            </w:r>
          </w:p>
        </w:tc>
        <w:tc>
          <w:tcPr>
            <w:tcW w:w="7596" w:type="dxa"/>
          </w:tcPr>
          <w:p>
            <w:r>
              <w:t>A device that amplifies the Power Station Interface signal to allow additional capacity for more Power Stations to be connected.</w:t>
            </w:r>
          </w:p>
        </w:tc>
      </w:tr>
      <w:tr>
        <w:tc>
          <w:tcPr>
            <w:tcW w:w="2268" w:type="dxa"/>
          </w:tcPr>
          <w:p>
            <w:r>
              <w:t>Power Station Interface Segment</w:t>
            </w:r>
          </w:p>
        </w:tc>
        <w:tc>
          <w:tcPr>
            <w:tcW w:w="7596" w:type="dxa"/>
          </w:tcPr>
          <w:p>
            <w:r>
              <w:t>The singular Power Station Interface path between a Command Station and a given Power Station.</w:t>
            </w:r>
          </w:p>
        </w:tc>
      </w:tr>
      <w:tr>
        <w:tc>
          <w:tcPr>
            <w:tcW w:w="2268" w:type="dxa"/>
          </w:tcPr>
          <w:p>
            <w:r>
              <w:t>TIA/EIA-422</w:t>
            </w:r>
          </w:p>
        </w:tc>
        <w:tc>
          <w:tcPr>
            <w:tcW w:w="7596" w:type="dxa"/>
          </w:tcPr>
          <w:p>
            <w:r>
              <w:t>ANSI differential signal standard commonly known as RS-422.</w:t>
            </w:r>
          </w:p>
        </w:tc>
      </w:tr>
      <w:tr>
        <w:tc>
          <w:tcPr>
            <w:tcW w:w="2268" w:type="dxa"/>
          </w:tcPr>
          <w:p>
            <w:r>
              <w:t>TIA/EIA-485</w:t>
            </w:r>
          </w:p>
        </w:tc>
        <w:tc>
          <w:tcPr>
            <w:tcW w:w="7596" w:type="dxa"/>
          </w:tcPr>
          <w:p>
            <w:r>
              <w:t>ANSI differential signal standard commonly known as RS-485.</w:t>
            </w:r>
          </w:p>
        </w:tc>
      </w:tr>
      <w:tr>
        <w:tc>
          <w:tcPr>
            <w:tcW w:w="2268" w:type="dxa"/>
          </w:tcPr>
          <w:p>
            <w:r>
              <w:t>AWG</w:t>
            </w:r>
          </w:p>
        </w:tc>
        <w:tc>
          <w:tcPr>
            <w:tcW w:w="7596" w:type="dxa"/>
          </w:tcPr>
          <w:p>
            <w:r>
              <w:t>American Wire Gauge. A logarithmic stepped standardized wire gauge system used since 1857, predominantly in North America.</w:t>
            </w:r>
          </w:p>
        </w:tc>
      </w:tr>
    </w:tbl>
    <w:p>
      <w:pPr>
        <w:pStyle w:val="Heading2"/>
      </w:pPr>
      <w:r>
        <w:t>Requirements</w:t>
      </w:r>
    </w:p>
    <w:p>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
        <w:t xml:space="preserve">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w:t>
      </w:r>
      <w:r>
        <w:lastRenderedPageBreak/>
        <w:t>noted in the product documentation and reviewed for accuracy by the NMRA Conformance and Inspection department.</w:t>
      </w:r>
    </w:p>
    <w:p>
      <w:pPr>
        <w:pStyle w:val="Heading1"/>
      </w:pPr>
      <w:r>
        <w:t>Electrical Characteristics</w:t>
      </w:r>
    </w:p>
    <w:p>
      <w:r>
        <w:t>The Power Station Interface specifications are divided into two types:</w:t>
      </w:r>
    </w:p>
    <w:p>
      <w:pPr>
        <w:pStyle w:val="ListParagraph"/>
        <w:numPr>
          <w:ilvl w:val="0"/>
          <w:numId w:val="22"/>
        </w:numPr>
      </w:pPr>
      <w:r>
        <w:fldChar w:fldCharType="begin"/>
      </w:r>
      <w:r>
        <w:instrText xml:space="preserve"> REF _Ref55116859 \h </w:instrText>
      </w:r>
      <w:r>
        <w:fldChar w:fldCharType="separate"/>
      </w:r>
      <w:r>
        <w:t>Full Scale Interface</w:t>
      </w:r>
      <w:r>
        <w:fldChar w:fldCharType="end"/>
      </w:r>
    </w:p>
    <w:p>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
        <w:t>Command Station / Power Station combinations following one of these interface types may interchange with devices of the same type. There is no exclusion of interchange between the two types as long as the product manufacturer documents the interchange.</w:t>
      </w:r>
    </w:p>
    <w:p>
      <w:pPr>
        <w:pStyle w:val="Heading2"/>
      </w:pPr>
      <w:r>
        <w:t>Common Characteristics</w:t>
      </w:r>
    </w:p>
    <w:p>
      <w:pPr>
        <w:pStyle w:val="Heading3"/>
      </w:pPr>
      <w:r>
        <w:t>Command Station (signal generator) Output Signal</w:t>
      </w:r>
    </w:p>
    <w:p>
      <w:r>
        <w:t>The Power Station Interface signal output by the Command Station described in this Standard shall conform to the timing specifications described in the NMRA DCC Standard S-9.1.</w:t>
      </w:r>
    </w:p>
    <w:p>
      <w:r>
        <w:t>When a Command Station is not powered, or when its Power Station Interface output is disabled, it shall ensure that the two output signals do not have a floating voltage potential with respect to one another.</w:t>
      </w:r>
    </w:p>
    <w:p>
      <w:r>
        <w:t>The Power Station Interface signal is specifically designed as bipolar.</w:t>
      </w:r>
    </w:p>
    <w:p>
      <w:pPr>
        <w:pStyle w:val="Heading3"/>
      </w:pPr>
      <w:r>
        <w:t>Power Station Input to Output Distortion</w:t>
      </w:r>
    </w:p>
    <w:p>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pPr>
        <w:pStyle w:val="Caption"/>
      </w:pPr>
      <w:bookmarkStart w:id="2" w:name="_Ref55117934"/>
      <w:bookmarkStart w:id="3" w:name="_Ref55117941"/>
      <w:r>
        <w:t xml:space="preserve">Table </w:t>
      </w:r>
      <w:fldSimple w:instr=" SEQ Table \* ARABIC ">
        <w:r>
          <w:rPr>
            <w:noProof/>
          </w:rPr>
          <w:t>1</w:t>
        </w:r>
      </w:fldSimple>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5 microseconds</w:t>
            </w:r>
          </w:p>
        </w:tc>
      </w:tr>
      <w:tr>
        <w:tc>
          <w:tcPr>
            <w:tcW w:w="2988" w:type="dxa"/>
          </w:tcPr>
          <w:p>
            <w:pPr>
              <w:rPr>
                <w:b/>
              </w:rPr>
            </w:pPr>
            <w:proofErr w:type="spellStart"/>
            <w:r>
              <w:rPr>
                <w:b/>
              </w:rPr>
              <w:t>T</w:t>
            </w:r>
            <w:r>
              <w:rPr>
                <w:b/>
                <w:vertAlign w:val="subscript"/>
              </w:rPr>
              <w:t>off</w:t>
            </w:r>
            <w:proofErr w:type="spellEnd"/>
          </w:p>
        </w:tc>
        <w:tc>
          <w:tcPr>
            <w:tcW w:w="6876" w:type="dxa"/>
          </w:tcPr>
          <w:p>
            <w:r>
              <w:t>Less than or equal to 5 microseconds</w:t>
            </w:r>
          </w:p>
        </w:tc>
      </w:tr>
      <w:tr>
        <w:tc>
          <w:tcPr>
            <w:tcW w:w="2988" w:type="dxa"/>
          </w:tcPr>
          <w:p>
            <w:pPr>
              <w:rPr>
                <w:b/>
              </w:rPr>
            </w:pPr>
            <w:r>
              <w:rPr>
                <w:b/>
              </w:rPr>
              <w:t>ABS (</w:t>
            </w:r>
            <w:proofErr w:type="spellStart"/>
            <w:r>
              <w:rPr>
                <w:b/>
              </w:rPr>
              <w:t>T</w:t>
            </w:r>
            <w:r>
              <w:rPr>
                <w:b/>
                <w:vertAlign w:val="subscript"/>
              </w:rPr>
              <w:t>off</w:t>
            </w:r>
            <w:proofErr w:type="spellEnd"/>
            <w:r>
              <w:rPr>
                <w:b/>
              </w:rPr>
              <w:t xml:space="preserve"> – T</w:t>
            </w:r>
            <w:r>
              <w:rPr>
                <w:b/>
                <w:vertAlign w:val="subscript"/>
              </w:rPr>
              <w:t>on</w:t>
            </w:r>
            <w:r>
              <w:rPr>
                <w:b/>
              </w:rPr>
              <w:t>)</w:t>
            </w:r>
          </w:p>
        </w:tc>
        <w:tc>
          <w:tcPr>
            <w:tcW w:w="6876" w:type="dxa"/>
          </w:tcPr>
          <w:p>
            <w:r>
              <w:t>Less than or equal to 2 microseconds</w:t>
            </w:r>
          </w:p>
        </w:tc>
      </w:tr>
    </w:tbl>
    <w:p>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roofErr w:type="spellStart"/>
                              <w:r>
                                <w:t>T</w:t>
                              </w:r>
                              <w:r>
                                <w:rPr>
                                  <w:vertAlign w:val="subscript"/>
                                </w:rPr>
                                <w:t>off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Input</w:t>
                              </w:r>
                            </w:p>
                            <w:p/>
                            <w:p>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717CF" w:rsidRDefault="00D717CF" w:rsidP="00D717CF">
                        <w:proofErr w:type="spellStart"/>
                        <w:r>
                          <w:t>T</w:t>
                        </w:r>
                        <w:r>
                          <w:rPr>
                            <w:vertAlign w:val="subscript"/>
                          </w:rPr>
                          <w:t>off</w:t>
                        </w:r>
                        <w:proofErr w:type="spellEnd"/>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B1B34" w:rsidRDefault="001B1B34">
                        <w:r>
                          <w:t>Input</w:t>
                        </w:r>
                      </w:p>
                      <w:p w:rsidR="00D717CF" w:rsidRDefault="00D717CF"/>
                      <w:p w:rsidR="00D717CF" w:rsidRDefault="00D717CF">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717CF" w:rsidRDefault="00D717CF" w:rsidP="00D717CF">
                        <w:r>
                          <w:t>T</w:t>
                        </w:r>
                        <w:r w:rsidRPr="00D717CF">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p/>
    <w:p/>
    <w:p/>
    <w:p>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pPr>
                              <w:pStyle w:val="Caption"/>
                              <w:rPr>
                                <w:noProof/>
                              </w:rPr>
                            </w:pPr>
                            <w:r>
                              <w:t xml:space="preserve">Figure </w:t>
                            </w:r>
                            <w:fldSimple w:instr=" SEQ Figure \* ARABIC ">
                              <w:r>
                                <w:rPr>
                                  <w:noProof/>
                                </w:rPr>
                                <w:t>1</w:t>
                              </w:r>
                            </w:fldSimple>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F36512" w:rsidRPr="00D2148D" w:rsidRDefault="00F36512" w:rsidP="00F36512">
                      <w:pPr>
                        <w:pStyle w:val="Caption"/>
                        <w:rPr>
                          <w:noProof/>
                        </w:rPr>
                      </w:pPr>
                      <w:r>
                        <w:t xml:space="preserve">Figure </w:t>
                      </w:r>
                      <w:r>
                        <w:fldChar w:fldCharType="begin"/>
                      </w:r>
                      <w:r>
                        <w:instrText xml:space="preserve"> SEQ Figure \* ARABIC </w:instrText>
                      </w:r>
                      <w:r>
                        <w:fldChar w:fldCharType="separate"/>
                      </w:r>
                      <w:r w:rsidR="00BA6A95">
                        <w:rPr>
                          <w:noProof/>
                        </w:rPr>
                        <w:t>1</w:t>
                      </w:r>
                      <w:r>
                        <w:fldChar w:fldCharType="end"/>
                      </w:r>
                      <w:r>
                        <w:t>: Power Station Distortion</w:t>
                      </w:r>
                    </w:p>
                  </w:txbxContent>
                </v:textbox>
                <w10:wrap type="through"/>
              </v:shape>
            </w:pict>
          </mc:Fallback>
        </mc:AlternateContent>
      </w:r>
    </w:p>
    <w:p/>
    <w:p>
      <w:pPr>
        <w:pStyle w:val="Heading3"/>
      </w:pPr>
      <w:r>
        <w:t>Power Station Interface Repeater Input to Output Distortion</w:t>
      </w:r>
    </w:p>
    <w:p>
      <w:r>
        <w:t xml:space="preserve">A Power Station Interface Repeater amplifies the Power Station Interface signals so that additional power stations can be supported. Only a single repeater may be used on any Power Station Interface </w:t>
      </w:r>
      <w:r>
        <w:lastRenderedPageBreak/>
        <w:t xml:space="preserve">Segment. On input, the repeater has the same requirements as a Power Station. On output, the repeater has the same signal level requirements as a Command station and timing requirements as a 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pPr>
        <w:pStyle w:val="Caption"/>
      </w:pPr>
      <w:bookmarkStart w:id="4" w:name="_Ref55118403"/>
      <w:bookmarkStart w:id="5" w:name="_Ref55118407"/>
      <w:r>
        <w:t xml:space="preserve">Table </w:t>
      </w:r>
      <w:fldSimple w:instr=" SEQ Table \* ARABIC ">
        <w:r>
          <w:rPr>
            <w:noProof/>
          </w:rPr>
          <w:t>2</w:t>
        </w:r>
      </w:fldSimple>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1 microseconds</w:t>
            </w:r>
          </w:p>
        </w:tc>
      </w:tr>
      <w:tr>
        <w:tc>
          <w:tcPr>
            <w:tcW w:w="2988" w:type="dxa"/>
          </w:tcPr>
          <w:p>
            <w:pPr>
              <w:rPr>
                <w:b/>
              </w:rPr>
            </w:pPr>
            <w:proofErr w:type="spellStart"/>
            <w:r>
              <w:rPr>
                <w:b/>
              </w:rPr>
              <w:t>T</w:t>
            </w:r>
            <w:r>
              <w:rPr>
                <w:b/>
                <w:vertAlign w:val="subscript"/>
              </w:rPr>
              <w:t>off</w:t>
            </w:r>
            <w:proofErr w:type="spellEnd"/>
          </w:p>
        </w:tc>
        <w:tc>
          <w:tcPr>
            <w:tcW w:w="6876" w:type="dxa"/>
          </w:tcPr>
          <w:p>
            <w:r>
              <w:t>Less than or equal to 1 microseconds</w:t>
            </w:r>
          </w:p>
        </w:tc>
      </w:tr>
      <w:tr>
        <w:tc>
          <w:tcPr>
            <w:tcW w:w="2988" w:type="dxa"/>
          </w:tcPr>
          <w:p>
            <w:pPr>
              <w:rPr>
                <w:b/>
              </w:rPr>
            </w:pPr>
            <w:r>
              <w:rPr>
                <w:b/>
              </w:rPr>
              <w:t>ABS (</w:t>
            </w:r>
            <w:proofErr w:type="spellStart"/>
            <w:r>
              <w:rPr>
                <w:b/>
              </w:rPr>
              <w:t>T</w:t>
            </w:r>
            <w:r>
              <w:rPr>
                <w:b/>
                <w:vertAlign w:val="subscript"/>
              </w:rPr>
              <w:t>off</w:t>
            </w:r>
            <w:proofErr w:type="spellEnd"/>
            <w:r>
              <w:rPr>
                <w:b/>
              </w:rPr>
              <w:t xml:space="preserve"> – T</w:t>
            </w:r>
            <w:r>
              <w:rPr>
                <w:b/>
                <w:vertAlign w:val="subscript"/>
              </w:rPr>
              <w:t>on</w:t>
            </w:r>
            <w:r>
              <w:rPr>
                <w:b/>
              </w:rPr>
              <w:t>)</w:t>
            </w:r>
          </w:p>
        </w:tc>
        <w:tc>
          <w:tcPr>
            <w:tcW w:w="6876" w:type="dxa"/>
          </w:tcPr>
          <w:p>
            <w:r>
              <w:t>Less than or equal to 0.5 microseconds</w:t>
            </w:r>
          </w:p>
        </w:tc>
      </w:tr>
    </w:tbl>
    <w:p>
      <w:pPr>
        <w:pStyle w:val="Heading3"/>
      </w:pPr>
      <w:r>
        <w:t>Power Stat</w:t>
      </w:r>
      <w:ins w:id="6" w:author="Baker, Stuart" w:date="2021-01-16T10:28:00Z">
        <w:r>
          <w:t>ion</w:t>
        </w:r>
      </w:ins>
      <w:del w:id="7" w:author="Baker, Stuart" w:date="2021-01-16T10:28:00Z">
        <w:r>
          <w:delText>e</w:delText>
        </w:r>
      </w:del>
      <w:r>
        <w:t xml:space="preserve"> Common</w:t>
      </w:r>
    </w:p>
    <w:p>
      <w:r>
        <w:t>Power Stations without electrically isolated interface inputs shall provide the ability to connect the common side of their DC power supplies together. Instructions on the use of the Power Station Common shall be provided in the product documentation.</w:t>
      </w:r>
    </w:p>
    <w:p>
      <w:pPr>
        <w:pStyle w:val="Heading3"/>
      </w:pPr>
      <w:r>
        <w:t>Power Station Fail-Safe</w:t>
      </w:r>
    </w:p>
    <w:p>
      <w:ins w:id="8" w:author="Baker, Stuart" w:date="2021-01-16T10:41:00Z">
        <w:r>
          <w:t>In order to avoid a dec</w:t>
        </w:r>
      </w:ins>
      <w:ins w:id="9" w:author="Baker, Stuart" w:date="2021-01-16T10:42:00Z">
        <w:r>
          <w:t xml:space="preserve">oder </w:t>
        </w:r>
      </w:ins>
      <w:ins w:id="10" w:author="Baker, Stuart" w:date="2021-01-16T11:46:00Z">
        <w:r>
          <w:t>conversion</w:t>
        </w:r>
      </w:ins>
      <w:bookmarkStart w:id="11" w:name="_GoBack"/>
      <w:bookmarkEnd w:id="11"/>
      <w:ins w:id="12" w:author="Baker, Stuart" w:date="2021-01-16T10:42:00Z">
        <w:r>
          <w:t xml:space="preserve"> to an alternate power source, as described in S-9.2.4, </w:t>
        </w:r>
      </w:ins>
      <w:r>
        <w:t>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pPr>
        <w:pStyle w:val="Heading2"/>
      </w:pPr>
      <w:bookmarkStart w:id="13" w:name="_Ref55116859"/>
      <w:r>
        <w:t>Full Scale Interface</w:t>
      </w:r>
      <w:bookmarkEnd w:id="13"/>
    </w:p>
    <w:p>
      <w:r>
        <w:t>The term Full Scale is derived from the voltage levels of this interface being designed to match the standard track voltage levels defined in S-9.1.</w:t>
      </w:r>
    </w:p>
    <w:p>
      <w:pPr>
        <w:pStyle w:val="Heading3"/>
      </w:pPr>
      <w:r>
        <w:t>Command Station Output Signal</w:t>
      </w:r>
    </w:p>
    <w:p>
      <w:r>
        <w:t xml:space="preserve">A bipolar signal shall appear differentially on a two-wire </w:t>
      </w:r>
      <w:del w:id="14" w:author="Baker, Stuart" w:date="2021-01-16T10:31:00Z">
        <w:r>
          <w:delText xml:space="preserve">cable </w:delText>
        </w:r>
      </w:del>
      <w:ins w:id="15" w:author="Baker, Stuart" w:date="2021-01-16T10:31:00Z">
        <w:r>
          <w:t xml:space="preserve">interface </w:t>
        </w:r>
      </w:ins>
      <w:r>
        <w:t>with a signal amplitude of no less ±8.5V and no greater than ±24V. The Command Station output shall be capable of supplying ±8.5V into a 100Ω resistive load, so that multiple Power Stations may be connected to this output.</w:t>
      </w:r>
    </w:p>
    <w:p>
      <w:r>
        <w:t>The output current shall be limited to no greater than 1A to reduce hazards in case of a short circuit in the Power Station Interface. The output shall be protected to prevent damage to internal devices when a short is present at the output.</w:t>
      </w:r>
    </w:p>
    <w:p>
      <w:pPr>
        <w:pStyle w:val="Caption"/>
      </w:pPr>
      <w:r>
        <w:t xml:space="preserve">Table </w:t>
      </w:r>
      <w:fldSimple w:instr=" SEQ Table \* ARABIC ">
        <w:r>
          <w:rPr>
            <w:noProof/>
          </w:rPr>
          <w:t>3</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Command Station Output Voltage Max</w:t>
            </w:r>
          </w:p>
        </w:tc>
        <w:tc>
          <w:tcPr>
            <w:tcW w:w="4932" w:type="dxa"/>
          </w:tcPr>
          <w:p>
            <w:r>
              <w:t>±24V (open circuit)</w:t>
            </w:r>
          </w:p>
        </w:tc>
      </w:tr>
      <w:tr>
        <w:tc>
          <w:tcPr>
            <w:tcW w:w="4932" w:type="dxa"/>
          </w:tcPr>
          <w:p>
            <w:pPr>
              <w:rPr>
                <w:b/>
              </w:rPr>
            </w:pPr>
            <w:r>
              <w:rPr>
                <w:b/>
              </w:rPr>
              <w:t>Command Station Output Voltage Min</w:t>
            </w:r>
          </w:p>
        </w:tc>
        <w:tc>
          <w:tcPr>
            <w:tcW w:w="4932" w:type="dxa"/>
          </w:tcPr>
          <w:p>
            <w:r>
              <w:t>±8.5V (100Ω load)</w:t>
            </w:r>
          </w:p>
        </w:tc>
      </w:tr>
      <w:tr>
        <w:tc>
          <w:tcPr>
            <w:tcW w:w="4932" w:type="dxa"/>
          </w:tcPr>
          <w:p>
            <w:pPr>
              <w:rPr>
                <w:b/>
              </w:rPr>
            </w:pPr>
            <w:r>
              <w:rPr>
                <w:b/>
              </w:rPr>
              <w:t>Command Station Output Current Limit</w:t>
            </w:r>
          </w:p>
        </w:tc>
        <w:tc>
          <w:tcPr>
            <w:tcW w:w="4932" w:type="dxa"/>
          </w:tcPr>
          <w:p>
            <w:r>
              <w:t>1A</w:t>
            </w:r>
          </w:p>
        </w:tc>
      </w:tr>
    </w:tbl>
    <w:p>
      <w:pPr>
        <w:pStyle w:val="Heading4"/>
      </w:pPr>
      <w:r>
        <w:lastRenderedPageBreak/>
        <w:t>Test Criteria</w:t>
      </w:r>
    </w:p>
    <w:p>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4723130" cy="1750060"/>
                    </a:xfrm>
                    <a:prstGeom prst="rect">
                      <a:avLst/>
                    </a:prstGeom>
                  </pic:spPr>
                </pic:pic>
              </a:graphicData>
            </a:graphic>
          </wp:inline>
        </w:drawing>
      </w:r>
    </w:p>
    <w:p>
      <w:pPr>
        <w:pStyle w:val="Caption"/>
        <w:jc w:val="center"/>
      </w:pPr>
      <w:r>
        <w:t xml:space="preserve">Figure </w:t>
      </w:r>
      <w:fldSimple w:instr=" SEQ Figure \* ARABIC ">
        <w:r>
          <w:rPr>
            <w:noProof/>
          </w:rPr>
          <w:t>2</w:t>
        </w:r>
      </w:fldSimple>
      <w:r>
        <w:t>: Open Circuit Test</w:t>
      </w:r>
    </w:p>
    <w:p/>
    <w:p>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1"/>
                    <a:stretch>
                      <a:fillRect/>
                    </a:stretch>
                  </pic:blipFill>
                  <pic:spPr bwMode="auto">
                    <a:xfrm>
                      <a:off x="0" y="0"/>
                      <a:ext cx="4708525" cy="1861185"/>
                    </a:xfrm>
                    <a:prstGeom prst="rect">
                      <a:avLst/>
                    </a:prstGeom>
                  </pic:spPr>
                </pic:pic>
              </a:graphicData>
            </a:graphic>
          </wp:inline>
        </w:drawing>
      </w:r>
    </w:p>
    <w:p>
      <w:pPr>
        <w:pStyle w:val="Caption"/>
        <w:jc w:val="center"/>
      </w:pPr>
      <w:r>
        <w:t xml:space="preserve">Figure </w:t>
      </w:r>
      <w:fldSimple w:instr=" SEQ Figure \* ARABIC ">
        <w:r>
          <w:rPr>
            <w:noProof/>
          </w:rPr>
          <w:t>3</w:t>
        </w:r>
      </w:fldSimple>
      <w:r>
        <w:t>: 100Ω Resistive Load Test</w:t>
      </w:r>
    </w:p>
    <w:p/>
    <w:p>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2"/>
                    <a:stretch>
                      <a:fillRect/>
                    </a:stretch>
                  </pic:blipFill>
                  <pic:spPr bwMode="auto">
                    <a:xfrm>
                      <a:off x="0" y="0"/>
                      <a:ext cx="4746625" cy="1825625"/>
                    </a:xfrm>
                    <a:prstGeom prst="rect">
                      <a:avLst/>
                    </a:prstGeom>
                  </pic:spPr>
                </pic:pic>
              </a:graphicData>
            </a:graphic>
          </wp:inline>
        </w:drawing>
      </w:r>
    </w:p>
    <w:p>
      <w:pPr>
        <w:pStyle w:val="Caption"/>
        <w:jc w:val="center"/>
      </w:pPr>
      <w:r>
        <w:t xml:space="preserve">Figure </w:t>
      </w:r>
      <w:fldSimple w:instr=" SEQ Figure \* ARABIC ">
        <w:r>
          <w:rPr>
            <w:noProof/>
          </w:rPr>
          <w:t>4</w:t>
        </w:r>
      </w:fldSimple>
      <w:r>
        <w:t>: Short Circuit Test</w:t>
      </w:r>
    </w:p>
    <w:p>
      <w:pPr>
        <w:pStyle w:val="Heading3"/>
      </w:pPr>
      <w:r>
        <w:t>Power Stati</w:t>
      </w:r>
      <w:ins w:id="16" w:author="Baker, Stuart" w:date="2021-01-16T10:18:00Z">
        <w:r>
          <w:t>o</w:t>
        </w:r>
      </w:ins>
      <w:r>
        <w:t>n Input Signal</w:t>
      </w:r>
    </w:p>
    <w:p>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
        <w:lastRenderedPageBreak/>
        <w:t>So that multiple Power Stations may be operated by parallel connection to the same Command Station output, the Power Station shall draw no more than 25mA from its input terminals when the input signal has an amplitude of ±10V.</w:t>
      </w:r>
    </w:p>
    <w:p>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pPr>
        <w:pStyle w:val="Caption"/>
      </w:pPr>
      <w:r>
        <w:t xml:space="preserve">Table </w:t>
      </w:r>
      <w:fldSimple w:instr=" SEQ Table \* ARABIC ">
        <w:r>
          <w:rPr>
            <w:noProof/>
          </w:rPr>
          <w:t>4</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Power Station Input Voltage Max</w:t>
            </w:r>
          </w:p>
        </w:tc>
        <w:tc>
          <w:tcPr>
            <w:tcW w:w="4932" w:type="dxa"/>
          </w:tcPr>
          <w:p>
            <w:r>
              <w:t>±27V</w:t>
            </w:r>
          </w:p>
        </w:tc>
      </w:tr>
      <w:tr>
        <w:tc>
          <w:tcPr>
            <w:tcW w:w="4932" w:type="dxa"/>
          </w:tcPr>
          <w:p>
            <w:pPr>
              <w:rPr>
                <w:b/>
              </w:rPr>
            </w:pPr>
            <w:r>
              <w:rPr>
                <w:b/>
              </w:rPr>
              <w:t>Power Station Input Voltage Min</w:t>
            </w:r>
          </w:p>
        </w:tc>
        <w:tc>
          <w:tcPr>
            <w:tcW w:w="4932" w:type="dxa"/>
          </w:tcPr>
          <w:p>
            <w:r>
              <w:t>±7V</w:t>
            </w:r>
          </w:p>
        </w:tc>
      </w:tr>
      <w:tr>
        <w:tc>
          <w:tcPr>
            <w:tcW w:w="4932" w:type="dxa"/>
          </w:tcPr>
          <w:p>
            <w:pPr>
              <w:rPr>
                <w:b/>
              </w:rPr>
            </w:pPr>
            <w:r>
              <w:rPr>
                <w:b/>
              </w:rPr>
              <w:t>Power Station Input Voltage Rejection Limit</w:t>
            </w:r>
          </w:p>
        </w:tc>
        <w:tc>
          <w:tcPr>
            <w:tcW w:w="4932" w:type="dxa"/>
          </w:tcPr>
          <w:p>
            <w:r>
              <w:t>±1.5V</w:t>
            </w:r>
          </w:p>
        </w:tc>
      </w:tr>
      <w:tr>
        <w:tc>
          <w:tcPr>
            <w:tcW w:w="4932" w:type="dxa"/>
          </w:tcPr>
          <w:p>
            <w:pPr>
              <w:rPr>
                <w:b/>
              </w:rPr>
            </w:pPr>
            <w:r>
              <w:rPr>
                <w:b/>
              </w:rPr>
              <w:t>Power Station Input Load Current Limit</w:t>
            </w:r>
          </w:p>
        </w:tc>
        <w:tc>
          <w:tcPr>
            <w:tcW w:w="4932" w:type="dxa"/>
          </w:tcPr>
          <w:p>
            <w:r>
              <w:t>25mA at ±10V</w:t>
            </w:r>
          </w:p>
        </w:tc>
      </w:tr>
    </w:tbl>
    <w:p>
      <w:pPr>
        <w:pStyle w:val="Heading4"/>
      </w:pPr>
      <w:r>
        <w:t>Test Criteria</w:t>
      </w:r>
    </w:p>
    <w:p>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pPr>
        <w:keepNext/>
        <w:jc w:val="center"/>
      </w:pPr>
      <w:r>
        <w:rPr>
          <w:noProof/>
          <w:color w:val="000000"/>
        </w:rPr>
        <w:drawing>
          <wp:inline distT="0" distB="0" distL="0" distR="0">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3"/>
                    <a:stretch>
                      <a:fillRect/>
                    </a:stretch>
                  </pic:blipFill>
                  <pic:spPr bwMode="auto">
                    <a:xfrm>
                      <a:off x="0" y="0"/>
                      <a:ext cx="5943600" cy="1459230"/>
                    </a:xfrm>
                    <a:prstGeom prst="rect">
                      <a:avLst/>
                    </a:prstGeom>
                  </pic:spPr>
                </pic:pic>
              </a:graphicData>
            </a:graphic>
          </wp:inline>
        </w:drawing>
      </w:r>
    </w:p>
    <w:p>
      <w:pPr>
        <w:pStyle w:val="Caption"/>
        <w:jc w:val="center"/>
      </w:pPr>
      <w:bookmarkStart w:id="17" w:name="_Ref55123658"/>
      <w:bookmarkStart w:id="18" w:name="_Ref55123663"/>
      <w:r>
        <w:t xml:space="preserve">Figure </w:t>
      </w:r>
      <w:fldSimple w:instr=" SEQ Figure \* ARABIC ">
        <w:r>
          <w:rPr>
            <w:noProof/>
          </w:rPr>
          <w:t>5</w:t>
        </w:r>
      </w:fldSimple>
      <w:bookmarkEnd w:id="17"/>
      <w:r>
        <w:t>: Power Station Input Signal Test</w:t>
      </w:r>
      <w:bookmarkEnd w:id="18"/>
    </w:p>
    <w:p>
      <w:pPr>
        <w:pStyle w:val="Heading2"/>
      </w:pPr>
      <w:bookmarkStart w:id="19" w:name="_Ref55116866"/>
      <w:r>
        <w:t>Driver/Receiver Interface</w:t>
      </w:r>
      <w:bookmarkEnd w:id="19"/>
    </w:p>
    <w:p>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ins w:id="20" w:author="Baker, Stuart" w:date="2021-01-16T10:18:00Z">
        <w:r>
          <w:t xml:space="preserve"> TIA/EIA-422</w:t>
        </w:r>
      </w:ins>
      <w:ins w:id="21" w:author="Baker, Stuart" w:date="2021-01-16T10:19:00Z">
        <w:r>
          <w:t xml:space="preserve"> and TIA/EIA-485 driver/receiver standards have overlapping operating ranges and are commonly used together and/or </w:t>
        </w:r>
      </w:ins>
      <w:ins w:id="22" w:author="Baker, Stuart" w:date="2021-01-16T11:44:00Z">
        <w:r>
          <w:t>interchangeably</w:t>
        </w:r>
      </w:ins>
      <w:ins w:id="23" w:author="Baker, Stuart" w:date="2021-01-16T10:19:00Z">
        <w:r>
          <w:t>.</w:t>
        </w:r>
      </w:ins>
    </w:p>
    <w:p>
      <w:r>
        <w:t>The NMRA Conformance and Inspection department shall work with the manufacturer to determine conformance through design inspection. Conformance requires that industry standard TIA/EIA-422 or TIA/EIA-485 components are used.</w:t>
      </w:r>
    </w:p>
    <w:p>
      <w:pPr>
        <w:pStyle w:val="Heading3"/>
      </w:pPr>
      <w:r>
        <w:t>Command Station Output Signal (TIA/EIA-422)</w:t>
      </w:r>
    </w:p>
    <w:p>
      <w:r>
        <w:t xml:space="preserve">A bipolar signal shall appear differentially on a two-wire </w:t>
      </w:r>
      <w:del w:id="24" w:author="Baker, Stuart" w:date="2021-01-16T11:30:00Z">
        <w:r>
          <w:delText xml:space="preserve">cable </w:delText>
        </w:r>
      </w:del>
      <w:ins w:id="25" w:author="Baker, Stuart" w:date="2021-01-16T11:30:00Z">
        <w:r>
          <w:t xml:space="preserve">interface </w:t>
        </w:r>
      </w:ins>
      <w:r>
        <w:t>with a signal amplitude of no less than ±2V and no greater than ±10V. The Command Station output shall be capable of supplying ±2V into a 100Ω resistive load.</w:t>
      </w:r>
    </w:p>
    <w:p>
      <w:r>
        <w:lastRenderedPageBreak/>
        <w:t>The output current of each differential signal shall be limited to no greater than 150mA when shorted to the reference ground to reduce hazards in case of a short circuit in the Power Station Interface.</w:t>
      </w:r>
    </w:p>
    <w:p>
      <w:pPr>
        <w:rPr>
          <w:b/>
        </w:rPr>
      </w:pPr>
      <w:r>
        <w:t>These specs are intentionally designed around the TIA/EIA-422 standard.</w:t>
      </w:r>
    </w:p>
    <w:p>
      <w:pPr>
        <w:pStyle w:val="Caption"/>
      </w:pPr>
      <w:r>
        <w:t xml:space="preserve">Table </w:t>
      </w:r>
      <w:fldSimple w:instr=" SEQ Table \* ARABIC ">
        <w:r>
          <w:rPr>
            <w:noProof/>
          </w:rPr>
          <w:t>5</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±10V (open circuit)</w:t>
            </w:r>
          </w:p>
        </w:tc>
      </w:tr>
      <w:tr>
        <w:tc>
          <w:tcPr>
            <w:tcW w:w="7218" w:type="dxa"/>
          </w:tcPr>
          <w:p>
            <w:pPr>
              <w:rPr>
                <w:b/>
              </w:rPr>
            </w:pPr>
            <w:r>
              <w:rPr>
                <w:b/>
              </w:rPr>
              <w:t>Command Station Output Differential Voltage Min</w:t>
            </w:r>
          </w:p>
        </w:tc>
        <w:tc>
          <w:tcPr>
            <w:tcW w:w="2646" w:type="dxa"/>
          </w:tcPr>
          <w:p>
            <w:r>
              <w:t>±2V (100Ω load)</w:t>
            </w:r>
          </w:p>
        </w:tc>
      </w:tr>
      <w:tr>
        <w:tc>
          <w:tcPr>
            <w:tcW w:w="7218" w:type="dxa"/>
          </w:tcPr>
          <w:p>
            <w:pPr>
              <w:rPr>
                <w:b/>
              </w:rPr>
            </w:pPr>
            <w:r>
              <w:rPr>
                <w:b/>
              </w:rPr>
              <w:t>Command Station Output Short Circuit to Ground Current Limit</w:t>
            </w:r>
          </w:p>
        </w:tc>
        <w:tc>
          <w:tcPr>
            <w:tcW w:w="2646" w:type="dxa"/>
          </w:tcPr>
          <w:p>
            <w:r>
              <w:t>150mA</w:t>
            </w:r>
          </w:p>
        </w:tc>
      </w:tr>
    </w:tbl>
    <w:p>
      <w:pPr>
        <w:pStyle w:val="Heading3"/>
      </w:pPr>
      <w:r>
        <w:t>Command Station Output Signal (TIA/EIA-485)</w:t>
      </w:r>
    </w:p>
    <w:p>
      <w:r>
        <w:t xml:space="preserve">A bipolar signal shall appear differentially on a two-wire </w:t>
      </w:r>
      <w:del w:id="26" w:author="Baker, Stuart" w:date="2021-01-16T11:30:00Z">
        <w:r>
          <w:delText xml:space="preserve">cable </w:delText>
        </w:r>
      </w:del>
      <w:ins w:id="27" w:author="Baker, Stuart" w:date="2021-01-16T11:30:00Z">
        <w:r>
          <w:t xml:space="preserve">interface </w:t>
        </w:r>
      </w:ins>
      <w:r>
        <w:t>with a signal amplitude of no less than ±1.5V and no greater than ±5V. The Command Station output shall be capable of supplying ±1.5V into a 60Ω resistive load.</w:t>
      </w:r>
    </w:p>
    <w:p>
      <w:r>
        <w:t xml:space="preserve">The output current of each differential signal shall be limited to no greater than 250mA when shorted to -7V or +12V to reduce hazards in case of a short circuit in the Power Station Interface. </w:t>
      </w:r>
    </w:p>
    <w:p>
      <w:r>
        <w:t>These specs are intentionally designed around the TIA/EIA-485 standard.</w:t>
      </w:r>
    </w:p>
    <w:p>
      <w:pPr>
        <w:pStyle w:val="Caption"/>
      </w:pPr>
      <w:r>
        <w:t xml:space="preserve">Table </w:t>
      </w:r>
      <w:fldSimple w:instr=" SEQ Table \* ARABIC ">
        <w:r>
          <w:rPr>
            <w:noProof/>
          </w:rPr>
          <w:t>6</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±5V (open circuit)</w:t>
            </w:r>
          </w:p>
        </w:tc>
      </w:tr>
      <w:tr>
        <w:tc>
          <w:tcPr>
            <w:tcW w:w="7218" w:type="dxa"/>
          </w:tcPr>
          <w:p>
            <w:pPr>
              <w:rPr>
                <w:b/>
              </w:rPr>
            </w:pPr>
            <w:r>
              <w:rPr>
                <w:b/>
              </w:rPr>
              <w:t>Command Station Output Differential Voltage Min</w:t>
            </w:r>
          </w:p>
        </w:tc>
        <w:tc>
          <w:tcPr>
            <w:tcW w:w="2646" w:type="dxa"/>
          </w:tcPr>
          <w:p>
            <w:r>
              <w:t>±1.5V (60Ω load)</w:t>
            </w:r>
          </w:p>
        </w:tc>
      </w:tr>
      <w:tr>
        <w:tc>
          <w:tcPr>
            <w:tcW w:w="7218" w:type="dxa"/>
          </w:tcPr>
          <w:p>
            <w:pPr>
              <w:rPr>
                <w:b/>
              </w:rPr>
            </w:pPr>
            <w:r>
              <w:rPr>
                <w:b/>
              </w:rPr>
              <w:t>Command Station Output Short to -7V or +12V</w:t>
            </w:r>
          </w:p>
        </w:tc>
        <w:tc>
          <w:tcPr>
            <w:tcW w:w="2646" w:type="dxa"/>
          </w:tcPr>
          <w:p>
            <w:r>
              <w:t>250mA</w:t>
            </w:r>
          </w:p>
        </w:tc>
      </w:tr>
    </w:tbl>
    <w:p>
      <w:pPr>
        <w:pStyle w:val="Heading3"/>
      </w:pPr>
      <w:r>
        <w:t>Power Station Input Signal (TIA/EIA-422)</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4KΩ or greater.</w:t>
      </w:r>
    </w:p>
    <w:p>
      <w:r>
        <w:t>To account for common mode noise and differences in reference ground potential between the Command Station and Power Station, the Power Station shall operate in the presence of common mode voltages up to ±7V relative to the Power Station’s reference ground input.</w:t>
      </w:r>
    </w:p>
    <w:p>
      <w:pPr>
        <w:pStyle w:val="Caption"/>
      </w:pPr>
      <w:r>
        <w:t xml:space="preserve">Table </w:t>
      </w:r>
      <w:fldSimple w:instr=" SEQ Table \* ARABIC ">
        <w:r>
          <w:rPr>
            <w:noProof/>
          </w:rPr>
          <w:t>7</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4KΩ</w:t>
            </w:r>
          </w:p>
        </w:tc>
      </w:tr>
    </w:tbl>
    <w:p>
      <w:pPr>
        <w:pStyle w:val="Heading3"/>
      </w:pPr>
      <w:r>
        <w:t>Power Station Input Signal (TIA/EIA-485)</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12KΩ or greater.</w:t>
      </w:r>
    </w:p>
    <w:p>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pPr>
        <w:pStyle w:val="Caption"/>
      </w:pPr>
      <w:r>
        <w:t xml:space="preserve">Table </w:t>
      </w:r>
      <w:fldSimple w:instr=" SEQ Table \* ARABIC ">
        <w:r>
          <w:rPr>
            <w:noProof/>
          </w:rPr>
          <w:t>8</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 to +12V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12KΩ</w:t>
            </w:r>
          </w:p>
        </w:tc>
      </w:tr>
    </w:tbl>
    <w:p>
      <w:pPr>
        <w:pStyle w:val="Heading1"/>
      </w:pPr>
      <w:r>
        <w:t>Physical Medium</w:t>
      </w:r>
    </w:p>
    <w:p>
      <w:r>
        <w:t>The cable used for transmitting the signal from the Command Station signal generator to the Power Stations shall be a single pair of wires and may utilize, twisted pair, coaxial, or any other wiring method. The minimum wire size shall be 26AWG.</w:t>
      </w:r>
      <w:ins w:id="28" w:author="Baker, Stuart" w:date="2021-01-16T10:33:00Z">
        <w:r>
          <w:t xml:space="preserve"> Other power and/or signal wires may also be bundled in the same cable as the Power Station Interface</w:t>
        </w:r>
      </w:ins>
      <w:ins w:id="29" w:author="Baker, Stuart" w:date="2021-01-16T10:34:00Z">
        <w:r>
          <w:t>.</w:t>
        </w:r>
      </w:ins>
    </w:p>
    <w:p>
      <w:r>
        <w:t>Additionally, the Driver/Receiver interface option shall carry a reference ground signal.</w:t>
      </w:r>
    </w:p>
    <w:p>
      <w:r>
        <w:t>The Power Station Interface shall not require special termination.</w:t>
      </w:r>
    </w:p>
    <w:p>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pPr>
        <w:pStyle w:val="Heading1"/>
      </w:pPr>
      <w:r>
        <w:t>Topology</w:t>
      </w:r>
    </w:p>
    <w:p>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pPr>
        <w:pStyle w:val="Heading1"/>
      </w:pPr>
      <w:r>
        <w:t>Labeling</w:t>
      </w:r>
    </w:p>
    <w:p>
      <w:r>
        <w:t>The Command Station, Power Station, or Repeater shall be directly labeled and/or provide accompanying documentation to indicate the following properties:</w:t>
      </w:r>
    </w:p>
    <w:p>
      <w:pPr>
        <w:pStyle w:val="ListParagraph"/>
        <w:numPr>
          <w:ilvl w:val="0"/>
          <w:numId w:val="23"/>
        </w:numPr>
      </w:pPr>
      <w:r>
        <w:t>Interface type used (Full Scale or Driver/Receiver).</w:t>
      </w:r>
    </w:p>
    <w:p>
      <w:pPr>
        <w:pStyle w:val="ListParagraph"/>
        <w:numPr>
          <w:ilvl w:val="0"/>
          <w:numId w:val="23"/>
        </w:numPr>
      </w:pPr>
      <w:r>
        <w:t>Power Station Interface output current capacity or limit (Command Station and Repeater only).</w:t>
      </w:r>
    </w:p>
    <w:p>
      <w:pPr>
        <w:pStyle w:val="ListParagraph"/>
        <w:numPr>
          <w:ilvl w:val="0"/>
          <w:numId w:val="23"/>
        </w:numPr>
      </w:pPr>
      <w:r>
        <w:t>Power Station Interface input loading (Power Station and Repeater only).</w:t>
      </w:r>
    </w:p>
    <w:p>
      <w:pPr>
        <w:pStyle w:val="ListParagraph"/>
        <w:numPr>
          <w:ilvl w:val="0"/>
          <w:numId w:val="23"/>
        </w:numPr>
      </w:pPr>
      <w:r>
        <w:t>Receiver input resistance in the case of Driver/Receiver Interface</w:t>
      </w:r>
    </w:p>
    <w:p>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pPr>
        <w:pStyle w:val="ListParagraph"/>
        <w:numPr>
          <w:ilvl w:val="0"/>
          <w:numId w:val="23"/>
        </w:numPr>
      </w:pPr>
      <w:r>
        <w:t>Power Station Common (only required if Power Station input is not electrically isolated).</w:t>
      </w:r>
    </w:p>
    <w:p>
      <w:pPr>
        <w:pStyle w:val="ListParagraph"/>
        <w:numPr>
          <w:ilvl w:val="0"/>
          <w:numId w:val="23"/>
        </w:numPr>
      </w:pPr>
      <w:r>
        <w:t>If the Power Station Interface on a Power Station is electrically isolated, it shall be noted.</w:t>
      </w:r>
    </w:p>
    <w:p>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2003</w:t>
            </w:r>
          </w:p>
        </w:tc>
        <w:tc>
          <w:tcPr>
            <w:tcW w:w="8226" w:type="dxa"/>
          </w:tcPr>
          <w:p>
            <w:r>
              <w:t>First Revision</w:t>
            </w:r>
          </w:p>
        </w:tc>
      </w:tr>
      <w:tr>
        <w:tc>
          <w:tcPr>
            <w:tcW w:w="1638" w:type="dxa"/>
          </w:tcPr>
          <w:p>
            <w:r>
              <w:t>Jan 16, 2020</w:t>
            </w:r>
          </w:p>
        </w:tc>
        <w:tc>
          <w:tcPr>
            <w:tcW w:w="8226" w:type="dxa"/>
          </w:tcPr>
          <w:p>
            <w:r>
              <w:t>Updates to fix missing and incorrect information.</w:t>
            </w:r>
          </w:p>
        </w:tc>
      </w:tr>
      <w:tr>
        <w:tc>
          <w:tcPr>
            <w:tcW w:w="1638" w:type="dxa"/>
          </w:tcPr>
          <w:p/>
        </w:tc>
        <w:tc>
          <w:tcPr>
            <w:tcW w:w="8226" w:type="dxa"/>
          </w:tcPr>
          <w:p/>
        </w:tc>
      </w:tr>
      <w:tr>
        <w:tc>
          <w:tcPr>
            <w:tcW w:w="1638" w:type="dxa"/>
          </w:tcPr>
          <w:p/>
        </w:tc>
        <w:tc>
          <w:tcPr>
            <w:tcW w:w="8226" w:type="dxa"/>
          </w:tcPr>
          <w:p/>
        </w:tc>
      </w:tr>
    </w:tbl>
    <w:p>
      <w:pPr>
        <w:sectPr>
          <w:footerReference w:type="even" r:id="rId14"/>
          <w:footerReference w:type="default" r:id="rId15"/>
          <w:headerReference w:type="first" r:id="rId16"/>
          <w:footerReference w:type="first" r:id="rId17"/>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8"/>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w:t>
      </w:r>
      <w:proofErr w:type="spellStart"/>
      <w:r>
        <w:t>RailCommunity</w:t>
      </w:r>
      <w:proofErr w:type="spellEnd"/>
      <w:r>
        <w:t xml:space="preserve"> </w:t>
      </w:r>
      <w:proofErr w:type="spellStart"/>
      <w:r>
        <w:t>Normen</w:t>
      </w:r>
      <w:proofErr w:type="spellEnd"/>
      <w:r>
        <w:t xml:space="preserve">. The direct German to English translation of </w:t>
      </w:r>
      <w:proofErr w:type="spellStart"/>
      <w:r>
        <w:t>Normen</w:t>
      </w:r>
      <w:proofErr w:type="spellEnd"/>
      <w:r>
        <w:t xml:space="preserve"> is Norms, and in this context is intended to have an equivalent meaning to Standards. </w:t>
      </w:r>
      <w:proofErr w:type="spellStart"/>
      <w:r>
        <w:t>RailCommunity</w:t>
      </w:r>
      <w:proofErr w:type="spellEnd"/>
      <w:r>
        <w:t xml:space="preserve"> is an organization of manufacturers that creates German language standards for model railway electronics.</w:t>
      </w:r>
    </w:p>
  </w:endnote>
  <w:endnote w:id="2">
    <w:p>
      <w:pPr>
        <w:pStyle w:val="EndnoteText"/>
      </w:pPr>
      <w:r>
        <w:rPr>
          <w:rStyle w:val="EndnoteReference"/>
        </w:rPr>
        <w:endnoteRef/>
      </w:r>
      <w:r>
        <w:t xml:space="preserve"> NEM stands for Norms of the European Model Railroads. Norms, in this context, is intended to have the an equivalent meaning to Standards. MOROP is the organization that maintains the NEM documents. MOROP is an organization that creates model railway standards primarily targeted at the European market.</w:t>
      </w:r>
    </w:p>
  </w:endnote>
  <w:endnote w:id="3">
    <w:p>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2003 –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pPr>
            <w:jc w:val="right"/>
          </w:pPr>
          <w:fldSimple w:instr=" TITLE  \* MERGEFORMAT ">
            <w:r>
              <w:t>S-9.1.2 Draft</w:t>
            </w:r>
          </w:fldSimple>
          <w:r>
            <w:t xml:space="preserve"> </w:t>
          </w:r>
          <w:fldSimple w:instr=" SUBJECT  \* MERGEFORMAT ">
            <w:r>
              <w:t>Power Station Interface</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2003 – 2020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2003 – 2020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proofErr w:type="spellStart"/>
      <w:r>
        <w:t>RailCom</w:t>
      </w:r>
      <w:proofErr w:type="spellEnd"/>
      <w:r>
        <w:rPr>
          <w:vertAlign w:val="superscript"/>
        </w:rPr>
        <w:t>®</w:t>
      </w:r>
      <w:r>
        <w:t xml:space="preserve"> is a registered trademark of Lenz </w:t>
      </w:r>
      <w:proofErr w:type="spellStart"/>
      <w:r>
        <w:t>Elektronik</w:t>
      </w:r>
      <w:proofErr w:type="spellEnd"/>
      <w:r>
        <w:t xml:space="preserve"> GmbH.</w:t>
      </w:r>
    </w:p>
  </w:footnote>
  <w:footnote w:id="2">
    <w:p>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9ED01-B5CC-42E5-AA83-6676BA43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271</TotalTime>
  <Pages>10</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2020 National Model Railroad Association, Inc.</Company>
  <LinksUpToDate>false</LinksUpToDate>
  <CharactersWithSpaces>24366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Baker, Stuart</cp:lastModifiedBy>
  <cp:revision>24</cp:revision>
  <cp:lastPrinted>2020-11-01T20:46:00Z</cp:lastPrinted>
  <dcterms:created xsi:type="dcterms:W3CDTF">2020-11-01T15:32:00Z</dcterms:created>
  <dcterms:modified xsi:type="dcterms:W3CDTF">2021-01-16T17:48:00Z</dcterms:modified>
</cp:coreProperties>
</file>